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DD85" w14:textId="335A75F1" w:rsidR="00A57819" w:rsidRPr="00E41E1D" w:rsidRDefault="00245E19" w:rsidP="00B914CD">
      <w:pPr>
        <w:pStyle w:val="Title"/>
      </w:pPr>
      <w:r w:rsidRPr="00E41E1D">
        <w:t xml:space="preserve">Guide on </w:t>
      </w:r>
      <w:r w:rsidR="00D47A33" w:rsidRPr="00E41E1D">
        <w:t>Biases and Barriers in Assessments</w:t>
      </w:r>
    </w:p>
    <w:p w14:paraId="0A7A6D5C" w14:textId="77777777" w:rsidR="00EA1068" w:rsidRPr="00E41E1D" w:rsidRDefault="00DB220A" w:rsidP="00B914CD">
      <w:r w:rsidRPr="00E41E1D">
        <w:t>P</w:t>
      </w:r>
      <w:r w:rsidR="00BE1827" w:rsidRPr="00E41E1D">
        <w:t>ersonnel Psychology Centre</w:t>
      </w:r>
    </w:p>
    <w:p w14:paraId="2FF90B4B" w14:textId="05152CA5" w:rsidR="00941B2E" w:rsidRPr="00E41E1D" w:rsidRDefault="00EA1068" w:rsidP="00B914CD">
      <w:r w:rsidRPr="00E41E1D">
        <w:t>July 2022</w:t>
      </w:r>
      <w:r w:rsidR="00941B2E" w:rsidRPr="00E41E1D">
        <w:br w:type="page"/>
      </w:r>
    </w:p>
    <w:sdt>
      <w:sdtPr>
        <w:rPr>
          <w:rFonts w:asciiTheme="minorHAnsi" w:eastAsiaTheme="minorHAnsi" w:hAnsiTheme="minorHAnsi" w:cstheme="minorBidi"/>
          <w:color w:val="auto"/>
          <w:sz w:val="22"/>
          <w:szCs w:val="22"/>
          <w:lang w:val="en-CA"/>
        </w:rPr>
        <w:id w:val="675231709"/>
        <w:docPartObj>
          <w:docPartGallery w:val="Table of Contents"/>
          <w:docPartUnique/>
        </w:docPartObj>
      </w:sdtPr>
      <w:sdtEndPr>
        <w:rPr>
          <w:rFonts w:ascii="Segoe UI" w:hAnsi="Segoe UI"/>
          <w:b/>
          <w:bCs/>
          <w:noProof/>
        </w:rPr>
      </w:sdtEndPr>
      <w:sdtContent>
        <w:p w14:paraId="62A041CA" w14:textId="01722C71" w:rsidR="00D868FA" w:rsidRPr="00E41E1D" w:rsidRDefault="00D868FA">
          <w:pPr>
            <w:pStyle w:val="TOCHeading"/>
            <w:rPr>
              <w:rFonts w:ascii="Segoe UI" w:hAnsi="Segoe UI" w:cs="Segoe UI"/>
              <w:lang w:val="en-CA"/>
            </w:rPr>
          </w:pPr>
          <w:r w:rsidRPr="00E41E1D">
            <w:rPr>
              <w:rFonts w:ascii="Segoe UI" w:hAnsi="Segoe UI" w:cs="Segoe UI"/>
              <w:lang w:val="en-CA"/>
            </w:rPr>
            <w:t>Table of Contents</w:t>
          </w:r>
        </w:p>
        <w:p w14:paraId="0C748D5C" w14:textId="735B8F63" w:rsidR="00EE6A01" w:rsidRPr="00E41E1D" w:rsidRDefault="00D868FA">
          <w:pPr>
            <w:pStyle w:val="TOC1"/>
            <w:rPr>
              <w:rFonts w:asciiTheme="minorHAnsi" w:eastAsiaTheme="minorEastAsia" w:hAnsiTheme="minorHAnsi"/>
              <w:noProof/>
              <w:sz w:val="22"/>
              <w:lang w:eastAsia="en-CA"/>
            </w:rPr>
          </w:pPr>
          <w:r w:rsidRPr="00E41E1D">
            <w:rPr>
              <w:rFonts w:ascii="Segoe UI" w:hAnsi="Segoe UI" w:cs="Segoe UI"/>
            </w:rPr>
            <w:fldChar w:fldCharType="begin"/>
          </w:r>
          <w:r w:rsidRPr="00E41E1D">
            <w:rPr>
              <w:rFonts w:ascii="Segoe UI" w:hAnsi="Segoe UI" w:cs="Segoe UI"/>
            </w:rPr>
            <w:instrText xml:space="preserve"> TOC \o "1-3" \h \z \u </w:instrText>
          </w:r>
          <w:r w:rsidRPr="00E41E1D">
            <w:rPr>
              <w:rFonts w:ascii="Segoe UI" w:hAnsi="Segoe UI" w:cs="Segoe UI"/>
            </w:rPr>
            <w:fldChar w:fldCharType="separate"/>
          </w:r>
          <w:hyperlink w:anchor="_Toc107327219" w:history="1">
            <w:r w:rsidR="00EE6A01" w:rsidRPr="00E41E1D">
              <w:rPr>
                <w:rStyle w:val="Hyperlink"/>
                <w:noProof/>
              </w:rPr>
              <w:t>Purpose of the guide</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_Toc107327219 \h </w:instrText>
            </w:r>
            <w:r w:rsidR="00EE6A01" w:rsidRPr="00E41E1D">
              <w:rPr>
                <w:noProof/>
                <w:webHidden/>
              </w:rPr>
            </w:r>
            <w:r w:rsidR="00EE6A01" w:rsidRPr="00E41E1D">
              <w:rPr>
                <w:noProof/>
                <w:webHidden/>
              </w:rPr>
              <w:fldChar w:fldCharType="separate"/>
            </w:r>
            <w:r w:rsidR="00B27F05">
              <w:rPr>
                <w:noProof/>
                <w:webHidden/>
              </w:rPr>
              <w:t>3</w:t>
            </w:r>
            <w:r w:rsidR="00EE6A01" w:rsidRPr="00E41E1D">
              <w:rPr>
                <w:noProof/>
                <w:webHidden/>
              </w:rPr>
              <w:fldChar w:fldCharType="end"/>
            </w:r>
          </w:hyperlink>
        </w:p>
        <w:p w14:paraId="6E5FB5F8" w14:textId="22204EBB" w:rsidR="00EE6A01" w:rsidRPr="00E41E1D" w:rsidRDefault="000B7E0A">
          <w:pPr>
            <w:pStyle w:val="TOC1"/>
            <w:rPr>
              <w:rFonts w:asciiTheme="minorHAnsi" w:eastAsiaTheme="minorEastAsia" w:hAnsiTheme="minorHAnsi"/>
              <w:noProof/>
              <w:sz w:val="22"/>
              <w:lang w:eastAsia="en-CA"/>
            </w:rPr>
          </w:pPr>
          <w:hyperlink w:anchor="_Toc107327220" w:history="1">
            <w:r w:rsidR="00EE6A01" w:rsidRPr="00E41E1D">
              <w:rPr>
                <w:rStyle w:val="Hyperlink"/>
                <w:noProof/>
              </w:rPr>
              <w:t>Definition of biases and barriers in assessments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_Toc107327220 \h </w:instrText>
            </w:r>
            <w:r w:rsidR="00EE6A01" w:rsidRPr="00E41E1D">
              <w:rPr>
                <w:noProof/>
                <w:webHidden/>
              </w:rPr>
            </w:r>
            <w:r w:rsidR="00EE6A01" w:rsidRPr="00E41E1D">
              <w:rPr>
                <w:noProof/>
                <w:webHidden/>
              </w:rPr>
              <w:fldChar w:fldCharType="separate"/>
            </w:r>
            <w:r w:rsidR="00B27F05">
              <w:rPr>
                <w:noProof/>
                <w:webHidden/>
              </w:rPr>
              <w:t>3</w:t>
            </w:r>
            <w:r w:rsidR="00EE6A01" w:rsidRPr="00E41E1D">
              <w:rPr>
                <w:noProof/>
                <w:webHidden/>
              </w:rPr>
              <w:fldChar w:fldCharType="end"/>
            </w:r>
          </w:hyperlink>
        </w:p>
        <w:p w14:paraId="68D4EA18" w14:textId="184D4BE2" w:rsidR="00EE6A01" w:rsidRPr="00E41E1D" w:rsidRDefault="000B7E0A">
          <w:pPr>
            <w:pStyle w:val="TOC1"/>
            <w:rPr>
              <w:rFonts w:asciiTheme="minorHAnsi" w:eastAsiaTheme="minorEastAsia" w:hAnsiTheme="minorHAnsi"/>
              <w:noProof/>
              <w:sz w:val="22"/>
              <w:lang w:eastAsia="en-CA"/>
            </w:rPr>
          </w:pPr>
          <w:hyperlink w:anchor="_Toc107327221" w:history="1">
            <w:r w:rsidR="00EE6A01" w:rsidRPr="00E41E1D">
              <w:rPr>
                <w:rStyle w:val="Hyperlink"/>
                <w:noProof/>
              </w:rPr>
              <w:t>Guiding principles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_Toc107327221 \h </w:instrText>
            </w:r>
            <w:r w:rsidR="00EE6A01" w:rsidRPr="00E41E1D">
              <w:rPr>
                <w:noProof/>
                <w:webHidden/>
              </w:rPr>
            </w:r>
            <w:r w:rsidR="00EE6A01" w:rsidRPr="00E41E1D">
              <w:rPr>
                <w:noProof/>
                <w:webHidden/>
              </w:rPr>
              <w:fldChar w:fldCharType="separate"/>
            </w:r>
            <w:r w:rsidR="00B27F05">
              <w:rPr>
                <w:noProof/>
                <w:webHidden/>
              </w:rPr>
              <w:t>3</w:t>
            </w:r>
            <w:r w:rsidR="00EE6A01" w:rsidRPr="00E41E1D">
              <w:rPr>
                <w:noProof/>
                <w:webHidden/>
              </w:rPr>
              <w:fldChar w:fldCharType="end"/>
            </w:r>
          </w:hyperlink>
        </w:p>
        <w:p w14:paraId="4B25966D" w14:textId="6E481AD9" w:rsidR="00EE6A01" w:rsidRPr="00E41E1D" w:rsidRDefault="000B7E0A">
          <w:pPr>
            <w:pStyle w:val="TOC2"/>
            <w:rPr>
              <w:rFonts w:asciiTheme="minorHAnsi" w:eastAsiaTheme="minorEastAsia" w:hAnsiTheme="minorHAnsi"/>
              <w:noProof/>
              <w:sz w:val="22"/>
              <w:lang w:eastAsia="en-CA"/>
            </w:rPr>
          </w:pPr>
          <w:hyperlink w:anchor="_Toc107327222" w:history="1">
            <w:r w:rsidR="00EE6A01" w:rsidRPr="00E41E1D">
              <w:rPr>
                <w:rStyle w:val="Hyperlink"/>
                <w:noProof/>
              </w:rPr>
              <w:t>Principle 1: Awareness of self and others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_Toc107327222 \h </w:instrText>
            </w:r>
            <w:r w:rsidR="00EE6A01" w:rsidRPr="00E41E1D">
              <w:rPr>
                <w:noProof/>
                <w:webHidden/>
              </w:rPr>
            </w:r>
            <w:r w:rsidR="00EE6A01" w:rsidRPr="00E41E1D">
              <w:rPr>
                <w:noProof/>
                <w:webHidden/>
              </w:rPr>
              <w:fldChar w:fldCharType="separate"/>
            </w:r>
            <w:r w:rsidR="00B27F05">
              <w:rPr>
                <w:noProof/>
                <w:webHidden/>
              </w:rPr>
              <w:t>4</w:t>
            </w:r>
            <w:r w:rsidR="00EE6A01" w:rsidRPr="00E41E1D">
              <w:rPr>
                <w:noProof/>
                <w:webHidden/>
              </w:rPr>
              <w:fldChar w:fldCharType="end"/>
            </w:r>
          </w:hyperlink>
        </w:p>
        <w:p w14:paraId="7C08A92A" w14:textId="3819A3AB" w:rsidR="00EE6A01" w:rsidRPr="00E41E1D" w:rsidRDefault="000B7E0A">
          <w:pPr>
            <w:pStyle w:val="TOC2"/>
            <w:rPr>
              <w:rFonts w:asciiTheme="minorHAnsi" w:eastAsiaTheme="minorEastAsia" w:hAnsiTheme="minorHAnsi"/>
              <w:noProof/>
              <w:sz w:val="22"/>
              <w:lang w:eastAsia="en-CA"/>
            </w:rPr>
          </w:pPr>
          <w:hyperlink w:anchor="_Toc107327223" w:history="1">
            <w:r w:rsidR="00EE6A01" w:rsidRPr="00E41E1D">
              <w:rPr>
                <w:rStyle w:val="Hyperlink"/>
                <w:noProof/>
              </w:rPr>
              <w:t>Principle 2: Accessibility</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_Toc107327223 \h </w:instrText>
            </w:r>
            <w:r w:rsidR="00EE6A01" w:rsidRPr="00E41E1D">
              <w:rPr>
                <w:noProof/>
                <w:webHidden/>
              </w:rPr>
            </w:r>
            <w:r w:rsidR="00EE6A01" w:rsidRPr="00E41E1D">
              <w:rPr>
                <w:noProof/>
                <w:webHidden/>
              </w:rPr>
              <w:fldChar w:fldCharType="separate"/>
            </w:r>
            <w:r w:rsidR="00B27F05">
              <w:rPr>
                <w:noProof/>
                <w:webHidden/>
              </w:rPr>
              <w:t>4</w:t>
            </w:r>
            <w:r w:rsidR="00EE6A01" w:rsidRPr="00E41E1D">
              <w:rPr>
                <w:noProof/>
                <w:webHidden/>
              </w:rPr>
              <w:fldChar w:fldCharType="end"/>
            </w:r>
          </w:hyperlink>
        </w:p>
        <w:p w14:paraId="734E9ABA" w14:textId="0FF41C14" w:rsidR="00EE6A01" w:rsidRPr="00E41E1D" w:rsidRDefault="000B7E0A">
          <w:pPr>
            <w:pStyle w:val="TOC2"/>
            <w:rPr>
              <w:rFonts w:asciiTheme="minorHAnsi" w:eastAsiaTheme="minorEastAsia" w:hAnsiTheme="minorHAnsi"/>
              <w:noProof/>
              <w:sz w:val="22"/>
              <w:lang w:eastAsia="en-CA"/>
            </w:rPr>
          </w:pPr>
          <w:hyperlink w:anchor="_Toc107327224" w:history="1">
            <w:r w:rsidR="00EE6A01" w:rsidRPr="00E41E1D">
              <w:rPr>
                <w:rStyle w:val="Hyperlink"/>
                <w:noProof/>
              </w:rPr>
              <w:t>Principle 3: Validity and reliability</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_Toc107327224 \h </w:instrText>
            </w:r>
            <w:r w:rsidR="00EE6A01" w:rsidRPr="00E41E1D">
              <w:rPr>
                <w:noProof/>
                <w:webHidden/>
              </w:rPr>
            </w:r>
            <w:r w:rsidR="00EE6A01" w:rsidRPr="00E41E1D">
              <w:rPr>
                <w:noProof/>
                <w:webHidden/>
              </w:rPr>
              <w:fldChar w:fldCharType="separate"/>
            </w:r>
            <w:r w:rsidR="00B27F05">
              <w:rPr>
                <w:noProof/>
                <w:webHidden/>
              </w:rPr>
              <w:t>5</w:t>
            </w:r>
            <w:r w:rsidR="00EE6A01" w:rsidRPr="00E41E1D">
              <w:rPr>
                <w:noProof/>
                <w:webHidden/>
              </w:rPr>
              <w:fldChar w:fldCharType="end"/>
            </w:r>
          </w:hyperlink>
        </w:p>
        <w:p w14:paraId="2992D61F" w14:textId="62CEF154" w:rsidR="00EE6A01" w:rsidRPr="00E41E1D" w:rsidRDefault="000B7E0A">
          <w:pPr>
            <w:pStyle w:val="TOC2"/>
            <w:rPr>
              <w:rFonts w:asciiTheme="minorHAnsi" w:eastAsiaTheme="minorEastAsia" w:hAnsiTheme="minorHAnsi"/>
              <w:noProof/>
              <w:sz w:val="22"/>
              <w:lang w:eastAsia="en-CA"/>
            </w:rPr>
          </w:pPr>
          <w:hyperlink w:anchor="_Toc107327225" w:history="1">
            <w:r w:rsidR="00EE6A01" w:rsidRPr="00E41E1D">
              <w:rPr>
                <w:rStyle w:val="Hyperlink"/>
                <w:noProof/>
              </w:rPr>
              <w:t>Principle 4: Flexible Standardization</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_Toc107327225 \h </w:instrText>
            </w:r>
            <w:r w:rsidR="00EE6A01" w:rsidRPr="00E41E1D">
              <w:rPr>
                <w:noProof/>
                <w:webHidden/>
              </w:rPr>
            </w:r>
            <w:r w:rsidR="00EE6A01" w:rsidRPr="00E41E1D">
              <w:rPr>
                <w:noProof/>
                <w:webHidden/>
              </w:rPr>
              <w:fldChar w:fldCharType="separate"/>
            </w:r>
            <w:r w:rsidR="00B27F05">
              <w:rPr>
                <w:noProof/>
                <w:webHidden/>
              </w:rPr>
              <w:t>6</w:t>
            </w:r>
            <w:r w:rsidR="00EE6A01" w:rsidRPr="00E41E1D">
              <w:rPr>
                <w:noProof/>
                <w:webHidden/>
              </w:rPr>
              <w:fldChar w:fldCharType="end"/>
            </w:r>
          </w:hyperlink>
        </w:p>
        <w:p w14:paraId="012D232E" w14:textId="73AEF764" w:rsidR="00EE6A01" w:rsidRPr="00E41E1D" w:rsidRDefault="000B7E0A">
          <w:pPr>
            <w:pStyle w:val="TOC2"/>
            <w:rPr>
              <w:rFonts w:asciiTheme="minorHAnsi" w:eastAsiaTheme="minorEastAsia" w:hAnsiTheme="minorHAnsi"/>
              <w:noProof/>
              <w:sz w:val="22"/>
              <w:lang w:eastAsia="en-CA"/>
            </w:rPr>
          </w:pPr>
          <w:hyperlink w:anchor="_Toc107327226" w:history="1">
            <w:r w:rsidR="00EE6A01" w:rsidRPr="00E41E1D">
              <w:rPr>
                <w:rStyle w:val="Hyperlink"/>
                <w:noProof/>
              </w:rPr>
              <w:t>Principle 5: Transparency</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_Toc107327226 \h </w:instrText>
            </w:r>
            <w:r w:rsidR="00EE6A01" w:rsidRPr="00E41E1D">
              <w:rPr>
                <w:noProof/>
                <w:webHidden/>
              </w:rPr>
            </w:r>
            <w:r w:rsidR="00EE6A01" w:rsidRPr="00E41E1D">
              <w:rPr>
                <w:noProof/>
                <w:webHidden/>
              </w:rPr>
              <w:fldChar w:fldCharType="separate"/>
            </w:r>
            <w:r w:rsidR="00B27F05">
              <w:rPr>
                <w:noProof/>
                <w:webHidden/>
              </w:rPr>
              <w:t>6</w:t>
            </w:r>
            <w:r w:rsidR="00EE6A01" w:rsidRPr="00E41E1D">
              <w:rPr>
                <w:noProof/>
                <w:webHidden/>
              </w:rPr>
              <w:fldChar w:fldCharType="end"/>
            </w:r>
          </w:hyperlink>
        </w:p>
        <w:p w14:paraId="3BAB4CDD" w14:textId="155EECEC" w:rsidR="00EE6A01" w:rsidRPr="00E41E1D" w:rsidRDefault="000B7E0A">
          <w:pPr>
            <w:pStyle w:val="TOC2"/>
            <w:rPr>
              <w:rFonts w:asciiTheme="minorHAnsi" w:eastAsiaTheme="minorEastAsia" w:hAnsiTheme="minorHAnsi"/>
              <w:noProof/>
              <w:sz w:val="22"/>
              <w:lang w:eastAsia="en-CA"/>
            </w:rPr>
          </w:pPr>
          <w:hyperlink w:anchor="_Toc107327227" w:history="1">
            <w:r w:rsidR="00EE6A01" w:rsidRPr="00E41E1D">
              <w:rPr>
                <w:rStyle w:val="Hyperlink"/>
                <w:noProof/>
              </w:rPr>
              <w:t>Principle 6: Fairness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_Toc107327227 \h </w:instrText>
            </w:r>
            <w:r w:rsidR="00EE6A01" w:rsidRPr="00E41E1D">
              <w:rPr>
                <w:noProof/>
                <w:webHidden/>
              </w:rPr>
            </w:r>
            <w:r w:rsidR="00EE6A01" w:rsidRPr="00E41E1D">
              <w:rPr>
                <w:noProof/>
                <w:webHidden/>
              </w:rPr>
              <w:fldChar w:fldCharType="separate"/>
            </w:r>
            <w:r w:rsidR="00B27F05">
              <w:rPr>
                <w:noProof/>
                <w:webHidden/>
              </w:rPr>
              <w:t>7</w:t>
            </w:r>
            <w:r w:rsidR="00EE6A01" w:rsidRPr="00E41E1D">
              <w:rPr>
                <w:noProof/>
                <w:webHidden/>
              </w:rPr>
              <w:fldChar w:fldCharType="end"/>
            </w:r>
          </w:hyperlink>
        </w:p>
        <w:p w14:paraId="35B09A1F" w14:textId="705A8C8F" w:rsidR="00EE6A01" w:rsidRPr="00E41E1D" w:rsidRDefault="000B7E0A">
          <w:pPr>
            <w:pStyle w:val="TOC1"/>
            <w:rPr>
              <w:rFonts w:asciiTheme="minorHAnsi" w:eastAsiaTheme="minorEastAsia" w:hAnsiTheme="minorHAnsi"/>
              <w:noProof/>
              <w:sz w:val="22"/>
              <w:lang w:eastAsia="en-CA"/>
            </w:rPr>
          </w:pPr>
          <w:hyperlink w:anchor="_Toc107327228" w:history="1">
            <w:r w:rsidR="00EE6A01" w:rsidRPr="00E41E1D">
              <w:rPr>
                <w:rStyle w:val="Hyperlink"/>
                <w:noProof/>
              </w:rPr>
              <w:t>Steps to conduct an evaluation of biases and barriers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_Toc107327228 \h </w:instrText>
            </w:r>
            <w:r w:rsidR="00EE6A01" w:rsidRPr="00E41E1D">
              <w:rPr>
                <w:noProof/>
                <w:webHidden/>
              </w:rPr>
            </w:r>
            <w:r w:rsidR="00EE6A01" w:rsidRPr="00E41E1D">
              <w:rPr>
                <w:noProof/>
                <w:webHidden/>
              </w:rPr>
              <w:fldChar w:fldCharType="separate"/>
            </w:r>
            <w:r w:rsidR="00B27F05">
              <w:rPr>
                <w:noProof/>
                <w:webHidden/>
              </w:rPr>
              <w:t>8</w:t>
            </w:r>
            <w:r w:rsidR="00EE6A01" w:rsidRPr="00E41E1D">
              <w:rPr>
                <w:noProof/>
                <w:webHidden/>
              </w:rPr>
              <w:fldChar w:fldCharType="end"/>
            </w:r>
          </w:hyperlink>
        </w:p>
        <w:p w14:paraId="5315626A" w14:textId="60F4AE94" w:rsidR="00EE6A01" w:rsidRPr="00E41E1D" w:rsidRDefault="000B7E0A">
          <w:pPr>
            <w:pStyle w:val="TOC2"/>
            <w:rPr>
              <w:rFonts w:asciiTheme="minorHAnsi" w:eastAsiaTheme="minorEastAsia" w:hAnsiTheme="minorHAnsi"/>
              <w:noProof/>
              <w:sz w:val="22"/>
              <w:lang w:eastAsia="en-CA"/>
            </w:rPr>
          </w:pPr>
          <w:hyperlink w:anchor="_Toc107327229" w:history="1">
            <w:r w:rsidR="00EE6A01" w:rsidRPr="00E41E1D">
              <w:rPr>
                <w:rStyle w:val="Hyperlink"/>
                <w:noProof/>
              </w:rPr>
              <w:t>Step 1: Describe the assessment method</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_Toc107327229 \h </w:instrText>
            </w:r>
            <w:r w:rsidR="00EE6A01" w:rsidRPr="00E41E1D">
              <w:rPr>
                <w:noProof/>
                <w:webHidden/>
              </w:rPr>
            </w:r>
            <w:r w:rsidR="00EE6A01" w:rsidRPr="00E41E1D">
              <w:rPr>
                <w:noProof/>
                <w:webHidden/>
              </w:rPr>
              <w:fldChar w:fldCharType="separate"/>
            </w:r>
            <w:r w:rsidR="00B27F05">
              <w:rPr>
                <w:noProof/>
                <w:webHidden/>
              </w:rPr>
              <w:t>8</w:t>
            </w:r>
            <w:r w:rsidR="00EE6A01" w:rsidRPr="00E41E1D">
              <w:rPr>
                <w:noProof/>
                <w:webHidden/>
              </w:rPr>
              <w:fldChar w:fldCharType="end"/>
            </w:r>
          </w:hyperlink>
        </w:p>
        <w:p w14:paraId="766D5D76" w14:textId="03157D60" w:rsidR="00EE6A01" w:rsidRPr="00E41E1D" w:rsidRDefault="000B7E0A">
          <w:pPr>
            <w:pStyle w:val="TOC2"/>
            <w:rPr>
              <w:rFonts w:asciiTheme="minorHAnsi" w:eastAsiaTheme="minorEastAsia" w:hAnsiTheme="minorHAnsi"/>
              <w:noProof/>
              <w:sz w:val="22"/>
              <w:lang w:eastAsia="en-CA"/>
            </w:rPr>
          </w:pPr>
          <w:hyperlink w:anchor="_Toc107327230" w:history="1">
            <w:r w:rsidR="00EE6A01" w:rsidRPr="00E41E1D">
              <w:rPr>
                <w:rStyle w:val="Hyperlink"/>
                <w:noProof/>
              </w:rPr>
              <w:t>Step 2: Identify potential biases and barriers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_Toc107327230 \h </w:instrText>
            </w:r>
            <w:r w:rsidR="00EE6A01" w:rsidRPr="00E41E1D">
              <w:rPr>
                <w:noProof/>
                <w:webHidden/>
              </w:rPr>
            </w:r>
            <w:r w:rsidR="00EE6A01" w:rsidRPr="00E41E1D">
              <w:rPr>
                <w:noProof/>
                <w:webHidden/>
              </w:rPr>
              <w:fldChar w:fldCharType="separate"/>
            </w:r>
            <w:r w:rsidR="00B27F05">
              <w:rPr>
                <w:noProof/>
                <w:webHidden/>
              </w:rPr>
              <w:t>8</w:t>
            </w:r>
            <w:r w:rsidR="00EE6A01" w:rsidRPr="00E41E1D">
              <w:rPr>
                <w:noProof/>
                <w:webHidden/>
              </w:rPr>
              <w:fldChar w:fldCharType="end"/>
            </w:r>
          </w:hyperlink>
        </w:p>
        <w:p w14:paraId="5CA779B7" w14:textId="2BC08467" w:rsidR="00EE6A01" w:rsidRPr="00E41E1D" w:rsidRDefault="000B7E0A">
          <w:pPr>
            <w:pStyle w:val="TOC2"/>
            <w:rPr>
              <w:rFonts w:asciiTheme="minorHAnsi" w:eastAsiaTheme="minorEastAsia" w:hAnsiTheme="minorHAnsi"/>
              <w:noProof/>
              <w:sz w:val="22"/>
              <w:lang w:eastAsia="en-CA"/>
            </w:rPr>
          </w:pPr>
          <w:hyperlink w:anchor="_Toc107327231" w:history="1">
            <w:r w:rsidR="00EE6A01" w:rsidRPr="00E41E1D">
              <w:rPr>
                <w:rStyle w:val="Hyperlink"/>
                <w:noProof/>
              </w:rPr>
              <w:t>Step 3: Take action to mitigate biases and barriers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_Toc107327231 \h </w:instrText>
            </w:r>
            <w:r w:rsidR="00EE6A01" w:rsidRPr="00E41E1D">
              <w:rPr>
                <w:noProof/>
                <w:webHidden/>
              </w:rPr>
            </w:r>
            <w:r w:rsidR="00EE6A01" w:rsidRPr="00E41E1D">
              <w:rPr>
                <w:noProof/>
                <w:webHidden/>
              </w:rPr>
              <w:fldChar w:fldCharType="separate"/>
            </w:r>
            <w:r w:rsidR="00B27F05">
              <w:rPr>
                <w:noProof/>
                <w:webHidden/>
              </w:rPr>
              <w:t>9</w:t>
            </w:r>
            <w:r w:rsidR="00EE6A01" w:rsidRPr="00E41E1D">
              <w:rPr>
                <w:noProof/>
                <w:webHidden/>
              </w:rPr>
              <w:fldChar w:fldCharType="end"/>
            </w:r>
          </w:hyperlink>
        </w:p>
        <w:p w14:paraId="1FF55971" w14:textId="57F96A2D" w:rsidR="00EE6A01" w:rsidRPr="00E41E1D" w:rsidRDefault="000B7E0A">
          <w:pPr>
            <w:pStyle w:val="TOC2"/>
            <w:rPr>
              <w:rFonts w:asciiTheme="minorHAnsi" w:eastAsiaTheme="minorEastAsia" w:hAnsiTheme="minorHAnsi"/>
              <w:noProof/>
              <w:sz w:val="22"/>
              <w:lang w:eastAsia="en-CA"/>
            </w:rPr>
          </w:pPr>
          <w:hyperlink w:anchor="_Toc107327232" w:history="1">
            <w:r w:rsidR="00EE6A01" w:rsidRPr="00E41E1D">
              <w:rPr>
                <w:rStyle w:val="Hyperlink"/>
                <w:noProof/>
              </w:rPr>
              <w:t>Related tools</w:t>
            </w:r>
            <w:r w:rsidR="00EE6A01" w:rsidRPr="00E41E1D">
              <w:rPr>
                <w:noProof/>
                <w:webHidden/>
              </w:rPr>
              <w:tab/>
            </w:r>
            <w:r w:rsidR="00EE6A01" w:rsidRPr="00E41E1D">
              <w:rPr>
                <w:noProof/>
                <w:webHidden/>
              </w:rPr>
              <w:fldChar w:fldCharType="begin"/>
            </w:r>
            <w:r w:rsidR="00EE6A01" w:rsidRPr="00E41E1D">
              <w:rPr>
                <w:noProof/>
                <w:webHidden/>
              </w:rPr>
              <w:instrText xml:space="preserve"> PAGEREF _Toc107327232 \h </w:instrText>
            </w:r>
            <w:r w:rsidR="00EE6A01" w:rsidRPr="00E41E1D">
              <w:rPr>
                <w:noProof/>
                <w:webHidden/>
              </w:rPr>
            </w:r>
            <w:r w:rsidR="00EE6A01" w:rsidRPr="00E41E1D">
              <w:rPr>
                <w:noProof/>
                <w:webHidden/>
              </w:rPr>
              <w:fldChar w:fldCharType="separate"/>
            </w:r>
            <w:r w:rsidR="00B27F05">
              <w:rPr>
                <w:noProof/>
                <w:webHidden/>
              </w:rPr>
              <w:t>10</w:t>
            </w:r>
            <w:r w:rsidR="00EE6A01" w:rsidRPr="00E41E1D">
              <w:rPr>
                <w:noProof/>
                <w:webHidden/>
              </w:rPr>
              <w:fldChar w:fldCharType="end"/>
            </w:r>
          </w:hyperlink>
        </w:p>
        <w:p w14:paraId="3908C7E9" w14:textId="22751679" w:rsidR="00D868FA" w:rsidRPr="00E41E1D" w:rsidRDefault="00D868FA" w:rsidP="006A20EB">
          <w:r w:rsidRPr="00E41E1D">
            <w:rPr>
              <w:rFonts w:cs="Segoe UI"/>
              <w:b/>
              <w:bCs/>
              <w:noProof/>
            </w:rPr>
            <w:fldChar w:fldCharType="end"/>
          </w:r>
        </w:p>
      </w:sdtContent>
    </w:sdt>
    <w:p w14:paraId="0B4F9BC6" w14:textId="5C93D17B" w:rsidR="00DB220A" w:rsidRPr="00E41E1D" w:rsidRDefault="00DB220A">
      <w:pPr>
        <w:keepLines w:val="0"/>
      </w:pPr>
      <w:r w:rsidRPr="00E41E1D">
        <w:br w:type="page"/>
      </w:r>
    </w:p>
    <w:p w14:paraId="00C8887E" w14:textId="4D28698F" w:rsidR="00DB220A" w:rsidRPr="00E41E1D" w:rsidRDefault="00DB220A" w:rsidP="00E6732E">
      <w:pPr>
        <w:pStyle w:val="IntenseQuote"/>
      </w:pPr>
      <w:r w:rsidRPr="00E41E1D">
        <w:lastRenderedPageBreak/>
        <w:t>A fair assessment is inclusive, accessible and measures what is intended</w:t>
      </w:r>
      <w:r w:rsidR="005D23BB" w:rsidRPr="00E41E1D">
        <w:t>.</w:t>
      </w:r>
    </w:p>
    <w:p w14:paraId="282901BF" w14:textId="5335B894" w:rsidR="00DB220A" w:rsidRPr="00E41E1D" w:rsidRDefault="00DB220A" w:rsidP="00B914CD">
      <w:pPr>
        <w:pStyle w:val="Heading1"/>
      </w:pPr>
      <w:bookmarkStart w:id="0" w:name="_Toc99699165"/>
      <w:bookmarkStart w:id="1" w:name="_Toc107327219"/>
      <w:r w:rsidRPr="00E41E1D">
        <w:t xml:space="preserve">Purpose of the </w:t>
      </w:r>
      <w:r w:rsidR="00727B66" w:rsidRPr="00E41E1D">
        <w:t>g</w:t>
      </w:r>
      <w:r w:rsidRPr="00E41E1D">
        <w:t>uide</w:t>
      </w:r>
      <w:bookmarkEnd w:id="0"/>
      <w:bookmarkEnd w:id="1"/>
    </w:p>
    <w:p w14:paraId="243C409D" w14:textId="1ADA0DBF" w:rsidR="00CF2A2E" w:rsidRPr="00E41E1D" w:rsidRDefault="00A850F8" w:rsidP="00B914CD">
      <w:r w:rsidRPr="00E41E1D">
        <w:t>This practical guide is for human resources specialists</w:t>
      </w:r>
      <w:r w:rsidR="007F05CA" w:rsidRPr="00E41E1D">
        <w:t xml:space="preserve"> and hiring managers</w:t>
      </w:r>
      <w:r w:rsidRPr="00E41E1D">
        <w:t xml:space="preserve">. </w:t>
      </w:r>
      <w:r w:rsidR="00A552DF" w:rsidRPr="00E41E1D">
        <w:t>It</w:t>
      </w:r>
      <w:r w:rsidR="00CF2A2E" w:rsidRPr="00E41E1D">
        <w:t xml:space="preserve"> </w:t>
      </w:r>
      <w:r w:rsidR="00363D43" w:rsidRPr="00E41E1D">
        <w:t xml:space="preserve">explains </w:t>
      </w:r>
      <w:r w:rsidR="00CF2A2E" w:rsidRPr="00E41E1D">
        <w:t xml:space="preserve">how to conduct an evaluation to identify, remove </w:t>
      </w:r>
      <w:r w:rsidR="00244EC1" w:rsidRPr="00E41E1D">
        <w:t xml:space="preserve">or </w:t>
      </w:r>
      <w:r w:rsidR="00CF2A2E" w:rsidRPr="00E41E1D">
        <w:t>mitigate biases and barriers in your assessment</w:t>
      </w:r>
      <w:r w:rsidR="000E6C5D" w:rsidRPr="00E41E1D">
        <w:t>. Reasonable efforts must be made to</w:t>
      </w:r>
      <w:r w:rsidR="00EC7CEA" w:rsidRPr="00E41E1D">
        <w:t xml:space="preserve"> remove or mitigate</w:t>
      </w:r>
      <w:r w:rsidR="00244EC1" w:rsidRPr="00E41E1D">
        <w:t xml:space="preserve"> </w:t>
      </w:r>
      <w:r w:rsidR="000E6C5D" w:rsidRPr="00E41E1D">
        <w:t>the impact of bias</w:t>
      </w:r>
      <w:r w:rsidR="00EC7CEA" w:rsidRPr="00E41E1D">
        <w:t>es</w:t>
      </w:r>
      <w:r w:rsidR="000E6C5D" w:rsidRPr="00E41E1D">
        <w:t xml:space="preserve"> or barrier</w:t>
      </w:r>
      <w:r w:rsidR="00244EC1" w:rsidRPr="00E41E1D">
        <w:t>s</w:t>
      </w:r>
      <w:r w:rsidR="000E6C5D" w:rsidRPr="00E41E1D">
        <w:t xml:space="preserve"> on members of equity-seeking groups.</w:t>
      </w:r>
    </w:p>
    <w:p w14:paraId="103E0306" w14:textId="4ED3532A" w:rsidR="00263B3F" w:rsidRPr="00E41E1D" w:rsidRDefault="00263B3F" w:rsidP="00A11CAF">
      <w:pPr>
        <w:pStyle w:val="ListParagraph"/>
        <w:numPr>
          <w:ilvl w:val="0"/>
          <w:numId w:val="2"/>
        </w:numPr>
        <w:spacing w:after="160"/>
        <w:ind w:left="714" w:hanging="357"/>
        <w:contextualSpacing w:val="0"/>
      </w:pPr>
      <w:r w:rsidRPr="00E41E1D">
        <w:t>See</w:t>
      </w:r>
      <w:r w:rsidR="005A12B8" w:rsidRPr="00E41E1D">
        <w:t xml:space="preserve"> the</w:t>
      </w:r>
      <w:r w:rsidR="009630DA" w:rsidRPr="00E41E1D">
        <w:t xml:space="preserve"> </w:t>
      </w:r>
      <w:r w:rsidR="00265B5E" w:rsidRPr="00E41E1D">
        <w:t>amendments</w:t>
      </w:r>
      <w:r w:rsidR="00B34997" w:rsidRPr="00E41E1D">
        <w:t xml:space="preserve"> (not yet in force)</w:t>
      </w:r>
      <w:r w:rsidR="00265B5E" w:rsidRPr="00E41E1D">
        <w:t xml:space="preserve"> to the</w:t>
      </w:r>
      <w:r w:rsidR="00363D43" w:rsidRPr="00E41E1D">
        <w:t xml:space="preserve"> </w:t>
      </w:r>
      <w:hyperlink r:id="rId8" w:history="1">
        <w:r w:rsidR="00363D43" w:rsidRPr="00E41E1D">
          <w:rPr>
            <w:rStyle w:val="Hyperlink"/>
            <w:i/>
            <w:iCs/>
          </w:rPr>
          <w:t>Public Service Employment Act</w:t>
        </w:r>
      </w:hyperlink>
    </w:p>
    <w:p w14:paraId="66CE4DFA" w14:textId="17D06421" w:rsidR="008B32D2" w:rsidRPr="00E41E1D" w:rsidRDefault="008762FB" w:rsidP="00B914CD">
      <w:r w:rsidRPr="00E41E1D">
        <w:t>U</w:t>
      </w:r>
      <w:r w:rsidR="004B7012" w:rsidRPr="00E41E1D">
        <w:t xml:space="preserve">se this guide and </w:t>
      </w:r>
      <w:r w:rsidR="00B34F95" w:rsidRPr="00E41E1D">
        <w:rPr>
          <w:rStyle w:val="IntenseReference"/>
        </w:rPr>
        <w:fldChar w:fldCharType="begin"/>
      </w:r>
      <w:r w:rsidR="00B34F95" w:rsidRPr="00E41E1D">
        <w:rPr>
          <w:rStyle w:val="IntenseReference"/>
        </w:rPr>
        <w:instrText xml:space="preserve"> REF _Ref106281809 \h </w:instrText>
      </w:r>
      <w:r w:rsidR="0037143B" w:rsidRPr="00E41E1D">
        <w:rPr>
          <w:rStyle w:val="IntenseReference"/>
        </w:rPr>
        <w:instrText xml:space="preserve"> \* MERGEFORMAT </w:instrText>
      </w:r>
      <w:r w:rsidR="00B34F95" w:rsidRPr="00E41E1D">
        <w:rPr>
          <w:rStyle w:val="IntenseReference"/>
        </w:rPr>
      </w:r>
      <w:r w:rsidR="00B34F95" w:rsidRPr="00E41E1D">
        <w:rPr>
          <w:rStyle w:val="IntenseReference"/>
        </w:rPr>
        <w:fldChar w:fldCharType="separate"/>
      </w:r>
      <w:r w:rsidR="0037143B" w:rsidRPr="00E41E1D">
        <w:rPr>
          <w:rStyle w:val="IntenseReference"/>
        </w:rPr>
        <w:t>Related tools</w:t>
      </w:r>
      <w:r w:rsidR="00B34F95" w:rsidRPr="00E41E1D">
        <w:rPr>
          <w:rStyle w:val="IntenseReference"/>
        </w:rPr>
        <w:fldChar w:fldCharType="end"/>
      </w:r>
      <w:r w:rsidR="00B34F95" w:rsidRPr="00E41E1D">
        <w:t xml:space="preserve"> </w:t>
      </w:r>
      <w:r w:rsidR="004B7012" w:rsidRPr="00E41E1D">
        <w:t xml:space="preserve">to evaluate your assessment methods well in advance of conducting your assessments. This will ensure you have enough time to </w:t>
      </w:r>
      <w:r w:rsidR="008B32D2" w:rsidRPr="00E41E1D">
        <w:t>apply the right strategies for a fair assessment.</w:t>
      </w:r>
    </w:p>
    <w:p w14:paraId="1FDB2361" w14:textId="5BCB17F8" w:rsidR="004B7012" w:rsidRPr="00E41E1D" w:rsidRDefault="008B32D2" w:rsidP="00B914CD">
      <w:r w:rsidRPr="00E41E1D">
        <w:t>To learn more</w:t>
      </w:r>
      <w:r w:rsidR="000A30F0" w:rsidRPr="00E41E1D">
        <w:t xml:space="preserve"> about fair assessments</w:t>
      </w:r>
      <w:r w:rsidRPr="00E41E1D">
        <w:t xml:space="preserve">, see </w:t>
      </w:r>
      <w:r w:rsidRPr="00E41E1D">
        <w:rPr>
          <w:rFonts w:cs="Segoe UI"/>
          <w:szCs w:val="24"/>
        </w:rPr>
        <w:t xml:space="preserve">the </w:t>
      </w:r>
      <w:hyperlink r:id="rId9" w:history="1">
        <w:r w:rsidRPr="00E41E1D">
          <w:rPr>
            <w:rStyle w:val="Hyperlink"/>
          </w:rPr>
          <w:t>Public Service Hiring Guides</w:t>
        </w:r>
      </w:hyperlink>
      <w:r w:rsidRPr="00E41E1D">
        <w:rPr>
          <w:rFonts w:cs="Segoe UI"/>
          <w:szCs w:val="24"/>
        </w:rPr>
        <w:t xml:space="preserve">, the Public Service Commission (PSC) </w:t>
      </w:r>
      <w:hyperlink r:id="rId10" w:history="1">
        <w:r w:rsidRPr="00E41E1D">
          <w:rPr>
            <w:rStyle w:val="Hyperlink"/>
          </w:rPr>
          <w:t>Guides and Tools</w:t>
        </w:r>
      </w:hyperlink>
      <w:r w:rsidRPr="00E41E1D">
        <w:rPr>
          <w:rFonts w:cs="Segoe UI"/>
          <w:szCs w:val="24"/>
        </w:rPr>
        <w:t xml:space="preserve"> and </w:t>
      </w:r>
      <w:hyperlink r:id="rId11" w:history="1">
        <w:r w:rsidR="00C76817" w:rsidRPr="00E41E1D">
          <w:rPr>
            <w:rStyle w:val="Hyperlink"/>
          </w:rPr>
          <w:t>Resources on Fair Assessments (on GCconnex)</w:t>
        </w:r>
      </w:hyperlink>
      <w:r w:rsidRPr="00E41E1D">
        <w:rPr>
          <w:rFonts w:cs="Segoe UI"/>
          <w:szCs w:val="24"/>
        </w:rPr>
        <w:t>.</w:t>
      </w:r>
    </w:p>
    <w:p w14:paraId="16A8008A" w14:textId="6203F705" w:rsidR="008F364D" w:rsidRPr="00E41E1D" w:rsidRDefault="008F364D" w:rsidP="00B914CD">
      <w:pPr>
        <w:pStyle w:val="IntenseQuote"/>
      </w:pPr>
      <w:r w:rsidRPr="00E41E1D">
        <w:t>Use this guide to support t</w:t>
      </w:r>
      <w:r w:rsidR="00DB220A" w:rsidRPr="00E41E1D">
        <w:t>he Government of Canada</w:t>
      </w:r>
      <w:r w:rsidRPr="00E41E1D">
        <w:t>’s</w:t>
      </w:r>
      <w:r w:rsidR="00DB220A" w:rsidRPr="00E41E1D">
        <w:t xml:space="preserve"> commit</w:t>
      </w:r>
      <w:r w:rsidRPr="00E41E1D">
        <w:t>ment</w:t>
      </w:r>
      <w:r w:rsidR="00DB220A" w:rsidRPr="00E41E1D">
        <w:t xml:space="preserve"> to an inclusive public service</w:t>
      </w:r>
      <w:r w:rsidR="005D23BB" w:rsidRPr="00E41E1D">
        <w:t>.</w:t>
      </w:r>
    </w:p>
    <w:p w14:paraId="702663B5" w14:textId="2854243E" w:rsidR="00DB220A" w:rsidRPr="00E41E1D" w:rsidRDefault="008B448E" w:rsidP="00B914CD">
      <w:pPr>
        <w:pStyle w:val="Heading1"/>
      </w:pPr>
      <w:bookmarkStart w:id="2" w:name="_Toc99699167"/>
      <w:bookmarkStart w:id="3" w:name="_Toc107327220"/>
      <w:r w:rsidRPr="00E41E1D">
        <w:t>Defini</w:t>
      </w:r>
      <w:r w:rsidR="00E737CA" w:rsidRPr="00E41E1D">
        <w:t>tion of</w:t>
      </w:r>
      <w:r w:rsidR="00DB220A" w:rsidRPr="00E41E1D">
        <w:t xml:space="preserve"> </w:t>
      </w:r>
      <w:r w:rsidR="00F97C16" w:rsidRPr="00E41E1D">
        <w:t>b</w:t>
      </w:r>
      <w:r w:rsidR="00DB220A" w:rsidRPr="00E41E1D">
        <w:t xml:space="preserve">iases and </w:t>
      </w:r>
      <w:r w:rsidR="00F97C16" w:rsidRPr="00E41E1D">
        <w:t>b</w:t>
      </w:r>
      <w:r w:rsidR="00DB220A" w:rsidRPr="00E41E1D">
        <w:t xml:space="preserve">arriers in </w:t>
      </w:r>
      <w:r w:rsidR="00727B66" w:rsidRPr="00E41E1D">
        <w:t>a</w:t>
      </w:r>
      <w:r w:rsidR="00DB220A" w:rsidRPr="00E41E1D">
        <w:t>ssessments</w:t>
      </w:r>
      <w:bookmarkEnd w:id="2"/>
      <w:bookmarkEnd w:id="3"/>
    </w:p>
    <w:p w14:paraId="0BCC1802" w14:textId="681E58FF" w:rsidR="00DB220A" w:rsidRPr="00E41E1D" w:rsidRDefault="00DB220A" w:rsidP="00B914CD">
      <w:r w:rsidRPr="00E41E1D">
        <w:rPr>
          <w:rStyle w:val="Strong"/>
        </w:rPr>
        <w:t>Bias:</w:t>
      </w:r>
      <w:r w:rsidRPr="00E41E1D">
        <w:t xml:space="preserve"> </w:t>
      </w:r>
      <w:r w:rsidR="00167203" w:rsidRPr="00E41E1D">
        <w:t>A</w:t>
      </w:r>
      <w:r w:rsidRPr="00E41E1D">
        <w:t xml:space="preserve">ny </w:t>
      </w:r>
      <w:r w:rsidR="00167203" w:rsidRPr="00E41E1D">
        <w:t>beliefs or assumptions in the context</w:t>
      </w:r>
      <w:r w:rsidRPr="00E41E1D">
        <w:t xml:space="preserve"> of an assessment method or its application that results in an over- or underestimation of the</w:t>
      </w:r>
      <w:r w:rsidR="008258DA" w:rsidRPr="00E41E1D">
        <w:t xml:space="preserve"> qualifications</w:t>
      </w:r>
      <w:r w:rsidRPr="00E41E1D">
        <w:t xml:space="preserve"> of individuals from equity-seeking groups due to factors unrelated to the qualification</w:t>
      </w:r>
      <w:r w:rsidR="0057691C" w:rsidRPr="00E41E1D">
        <w:t>s</w:t>
      </w:r>
      <w:r w:rsidRPr="00E41E1D">
        <w:t xml:space="preserve"> being assessed in an appointment process.</w:t>
      </w:r>
    </w:p>
    <w:p w14:paraId="2FC1C4F1" w14:textId="77777777" w:rsidR="00DB220A" w:rsidRPr="00E41E1D" w:rsidRDefault="00DB220A" w:rsidP="00B914CD">
      <w:r w:rsidRPr="00E41E1D">
        <w:rPr>
          <w:rStyle w:val="Strong"/>
        </w:rPr>
        <w:t>Barrier:</w:t>
      </w:r>
      <w:r w:rsidRPr="00E41E1D">
        <w:t xml:space="preserve"> A barrier refers to anything related to the assessment method or application of an assessment method that hinders the full and equal opportunity of members of equity-seeking groups to fully demonstrate their qualifications for a position in an appointment process.</w:t>
      </w:r>
    </w:p>
    <w:p w14:paraId="37AD1E94" w14:textId="3320812C" w:rsidR="00DB220A" w:rsidRPr="00E41E1D" w:rsidRDefault="00DB220A" w:rsidP="00B914CD">
      <w:pPr>
        <w:pStyle w:val="Heading1"/>
      </w:pPr>
      <w:bookmarkStart w:id="4" w:name="_Ref96949122"/>
      <w:bookmarkStart w:id="5" w:name="_Toc99699168"/>
      <w:bookmarkStart w:id="6" w:name="_Toc107327221"/>
      <w:r w:rsidRPr="00E41E1D">
        <w:t xml:space="preserve">Guiding </w:t>
      </w:r>
      <w:r w:rsidR="00B7682A" w:rsidRPr="00E41E1D">
        <w:t>p</w:t>
      </w:r>
      <w:r w:rsidRPr="00E41E1D">
        <w:t>rinciples</w:t>
      </w:r>
      <w:bookmarkEnd w:id="4"/>
      <w:bookmarkEnd w:id="5"/>
      <w:bookmarkEnd w:id="6"/>
    </w:p>
    <w:p w14:paraId="5BD90F41" w14:textId="014FB414" w:rsidR="00AD39FC" w:rsidRPr="00E41E1D" w:rsidRDefault="00DB220A" w:rsidP="00B914CD">
      <w:r w:rsidRPr="00E41E1D">
        <w:t xml:space="preserve">Follow these </w:t>
      </w:r>
      <w:r w:rsidR="007A06EF" w:rsidRPr="00E41E1D">
        <w:t>6</w:t>
      </w:r>
      <w:r w:rsidRPr="00E41E1D">
        <w:t xml:space="preserve"> principles </w:t>
      </w:r>
      <w:r w:rsidR="00AD39FC" w:rsidRPr="00E41E1D">
        <w:t>to promote a fair assessment</w:t>
      </w:r>
      <w:r w:rsidRPr="00E41E1D">
        <w:t xml:space="preserve">: Awareness of Self and Others, Accessibility, Validity and Reliability, </w:t>
      </w:r>
      <w:r w:rsidR="004C0ECE" w:rsidRPr="00E41E1D">
        <w:t xml:space="preserve">Flexible </w:t>
      </w:r>
      <w:r w:rsidRPr="00E41E1D">
        <w:t>Standardization, Transparency and Fairness. The</w:t>
      </w:r>
      <w:r w:rsidR="00B34291" w:rsidRPr="00E41E1D">
        <w:t>se</w:t>
      </w:r>
      <w:r w:rsidRPr="00E41E1D">
        <w:t xml:space="preserve"> principles apply to all parts of the assessment method and its application</w:t>
      </w:r>
      <w:r w:rsidR="00AD39FC" w:rsidRPr="00E41E1D">
        <w:t>, including</w:t>
      </w:r>
      <w:r w:rsidR="004C0ECE" w:rsidRPr="00E41E1D">
        <w:t xml:space="preserve"> the</w:t>
      </w:r>
      <w:r w:rsidR="00AD39FC" w:rsidRPr="00E41E1D">
        <w:t>:</w:t>
      </w:r>
    </w:p>
    <w:p w14:paraId="78A1CADF" w14:textId="5AC2B614" w:rsidR="00AD39FC" w:rsidRPr="00E41E1D" w:rsidRDefault="00BF4A46" w:rsidP="00A11CAF">
      <w:pPr>
        <w:pStyle w:val="ListParagraph"/>
        <w:numPr>
          <w:ilvl w:val="0"/>
          <w:numId w:val="3"/>
        </w:numPr>
        <w:spacing w:after="160"/>
        <w:ind w:left="714" w:hanging="357"/>
      </w:pPr>
      <w:r w:rsidRPr="00E41E1D">
        <w:lastRenderedPageBreak/>
        <w:t>Assessment tool</w:t>
      </w:r>
    </w:p>
    <w:p w14:paraId="30A764A5" w14:textId="16562359" w:rsidR="00AD39FC" w:rsidRPr="00E41E1D" w:rsidRDefault="00BF4A46" w:rsidP="00A11CAF">
      <w:pPr>
        <w:pStyle w:val="ListParagraph"/>
        <w:numPr>
          <w:ilvl w:val="0"/>
          <w:numId w:val="3"/>
        </w:numPr>
        <w:spacing w:after="160"/>
        <w:ind w:left="714" w:hanging="357"/>
      </w:pPr>
      <w:r w:rsidRPr="00E41E1D">
        <w:t>Administ</w:t>
      </w:r>
      <w:r w:rsidR="004C0ECE" w:rsidRPr="00E41E1D">
        <w:t>ration process</w:t>
      </w:r>
    </w:p>
    <w:p w14:paraId="6C7ADCA4" w14:textId="0F8695D7" w:rsidR="00AD39FC" w:rsidRPr="00E41E1D" w:rsidRDefault="00BF4A46" w:rsidP="00A11CAF">
      <w:pPr>
        <w:pStyle w:val="ListParagraph"/>
        <w:numPr>
          <w:ilvl w:val="0"/>
          <w:numId w:val="3"/>
        </w:numPr>
        <w:spacing w:after="160"/>
        <w:ind w:left="714" w:hanging="357"/>
      </w:pPr>
      <w:r w:rsidRPr="00E41E1D">
        <w:t>Rating system</w:t>
      </w:r>
    </w:p>
    <w:p w14:paraId="0E7AC4F2" w14:textId="5DC044C4" w:rsidR="00AD39FC" w:rsidRPr="00E41E1D" w:rsidRDefault="00BF4A46" w:rsidP="00A11CAF">
      <w:pPr>
        <w:pStyle w:val="ListParagraph"/>
        <w:numPr>
          <w:ilvl w:val="0"/>
          <w:numId w:val="3"/>
        </w:numPr>
        <w:spacing w:after="160"/>
        <w:ind w:left="714" w:hanging="357"/>
      </w:pPr>
      <w:r w:rsidRPr="00E41E1D">
        <w:t xml:space="preserve">Related </w:t>
      </w:r>
      <w:r w:rsidR="00DB220A" w:rsidRPr="00E41E1D">
        <w:t>communications</w:t>
      </w:r>
    </w:p>
    <w:p w14:paraId="7C403831" w14:textId="114FCF2D" w:rsidR="001E6EA6" w:rsidRPr="00E41E1D" w:rsidRDefault="001E6EA6" w:rsidP="00B914CD">
      <w:pPr>
        <w:pStyle w:val="Heading2"/>
      </w:pPr>
      <w:bookmarkStart w:id="7" w:name="_Toc99699169"/>
      <w:bookmarkStart w:id="8" w:name="_Toc107327222"/>
      <w:r w:rsidRPr="00E41E1D">
        <w:t>Principl</w:t>
      </w:r>
      <w:r w:rsidR="00140E4A" w:rsidRPr="00E41E1D">
        <w:t>e</w:t>
      </w:r>
      <w:r w:rsidR="006A20EB" w:rsidRPr="00E41E1D">
        <w:t> </w:t>
      </w:r>
      <w:r w:rsidRPr="00E41E1D">
        <w:t xml:space="preserve">1: Awareness of </w:t>
      </w:r>
      <w:r w:rsidR="007A06EF" w:rsidRPr="00E41E1D">
        <w:t>s</w:t>
      </w:r>
      <w:r w:rsidRPr="00E41E1D">
        <w:t xml:space="preserve">elf and </w:t>
      </w:r>
      <w:r w:rsidR="007A06EF" w:rsidRPr="00E41E1D">
        <w:t>o</w:t>
      </w:r>
      <w:r w:rsidRPr="00E41E1D">
        <w:t>thers</w:t>
      </w:r>
      <w:bookmarkEnd w:id="7"/>
      <w:bookmarkEnd w:id="8"/>
    </w:p>
    <w:p w14:paraId="0ED4196A" w14:textId="2352909B" w:rsidR="00380682" w:rsidRPr="00E41E1D" w:rsidRDefault="001E6EA6" w:rsidP="00B914CD">
      <w:r w:rsidRPr="00E41E1D">
        <w:t xml:space="preserve">People are naturally subject to bias. Biases are shortcuts </w:t>
      </w:r>
      <w:r w:rsidR="006F6176" w:rsidRPr="00E41E1D">
        <w:t xml:space="preserve">our </w:t>
      </w:r>
      <w:r w:rsidRPr="00E41E1D">
        <w:t>brain use</w:t>
      </w:r>
      <w:r w:rsidR="001B0160" w:rsidRPr="00E41E1D">
        <w:t>s</w:t>
      </w:r>
      <w:r w:rsidRPr="00E41E1D">
        <w:t xml:space="preserve"> to process information</w:t>
      </w:r>
      <w:r w:rsidR="001B0160" w:rsidRPr="00E41E1D">
        <w:t xml:space="preserve"> and respond</w:t>
      </w:r>
      <w:r w:rsidR="004C63B0" w:rsidRPr="00E41E1D">
        <w:t xml:space="preserve">. </w:t>
      </w:r>
      <w:r w:rsidRPr="00E41E1D">
        <w:t xml:space="preserve">These </w:t>
      </w:r>
      <w:r w:rsidR="001B0160" w:rsidRPr="00E41E1D">
        <w:t xml:space="preserve">shortcuts </w:t>
      </w:r>
      <w:r w:rsidR="00DF3136" w:rsidRPr="00E41E1D">
        <w:t xml:space="preserve">are shaped by </w:t>
      </w:r>
      <w:r w:rsidR="00F61D2B" w:rsidRPr="00E41E1D">
        <w:t>personal values</w:t>
      </w:r>
      <w:r w:rsidR="00DF3136" w:rsidRPr="00E41E1D">
        <w:t xml:space="preserve"> and experiences, and they</w:t>
      </w:r>
      <w:r w:rsidR="00F61D2B" w:rsidRPr="00E41E1D">
        <w:t xml:space="preserve"> </w:t>
      </w:r>
      <w:r w:rsidR="00DF3136" w:rsidRPr="00E41E1D">
        <w:t>influence</w:t>
      </w:r>
      <w:r w:rsidR="00F61D2B" w:rsidRPr="00E41E1D">
        <w:t xml:space="preserve"> how we see and interact with others.</w:t>
      </w:r>
      <w:r w:rsidR="00DF3136" w:rsidRPr="00E41E1D">
        <w:t xml:space="preserve"> They are, however, prone to error.</w:t>
      </w:r>
    </w:p>
    <w:p w14:paraId="2714BCE9" w14:textId="2658B164" w:rsidR="00380682" w:rsidRPr="00E41E1D" w:rsidRDefault="00380682" w:rsidP="00B914CD">
      <w:r w:rsidRPr="00E41E1D">
        <w:t>Why is awareness of self and others important?</w:t>
      </w:r>
    </w:p>
    <w:p w14:paraId="4CD27370" w14:textId="6AB7A871" w:rsidR="00380682" w:rsidRPr="00E41E1D" w:rsidRDefault="00DB4BAE" w:rsidP="00A11CAF">
      <w:pPr>
        <w:pStyle w:val="ListParagraph"/>
        <w:numPr>
          <w:ilvl w:val="0"/>
          <w:numId w:val="4"/>
        </w:numPr>
        <w:spacing w:after="160"/>
        <w:ind w:left="714" w:hanging="357"/>
      </w:pPr>
      <w:r w:rsidRPr="00E41E1D">
        <w:t>B</w:t>
      </w:r>
      <w:r w:rsidR="00380682" w:rsidRPr="00E41E1D">
        <w:t xml:space="preserve">ias can </w:t>
      </w:r>
      <w:r w:rsidR="00545AA5" w:rsidRPr="00E41E1D">
        <w:t>shape how we judge a candidate</w:t>
      </w:r>
    </w:p>
    <w:p w14:paraId="46CAF852" w14:textId="1773E383" w:rsidR="00545AA5" w:rsidRPr="00E41E1D" w:rsidRDefault="00545AA5" w:rsidP="00A11CAF">
      <w:pPr>
        <w:pStyle w:val="ListParagraph"/>
        <w:numPr>
          <w:ilvl w:val="0"/>
          <w:numId w:val="4"/>
        </w:numPr>
        <w:spacing w:after="160"/>
        <w:ind w:left="714" w:hanging="357"/>
      </w:pPr>
      <w:r w:rsidRPr="00E41E1D">
        <w:t>Bias ha</w:t>
      </w:r>
      <w:r w:rsidR="00831F96" w:rsidRPr="00E41E1D">
        <w:t>s</w:t>
      </w:r>
      <w:r w:rsidRPr="00E41E1D">
        <w:t xml:space="preserve"> a negative impact on members of equity-seeking groups</w:t>
      </w:r>
    </w:p>
    <w:p w14:paraId="40A36F25" w14:textId="4BE6AD3A" w:rsidR="00380682" w:rsidRPr="00E41E1D" w:rsidRDefault="005654BD" w:rsidP="00A11CAF">
      <w:pPr>
        <w:pStyle w:val="ListParagraph"/>
        <w:numPr>
          <w:ilvl w:val="0"/>
          <w:numId w:val="4"/>
        </w:numPr>
        <w:spacing w:after="160"/>
        <w:ind w:left="714" w:hanging="357"/>
      </w:pPr>
      <w:r w:rsidRPr="00E41E1D">
        <w:t>B</w:t>
      </w:r>
      <w:r w:rsidR="00380682" w:rsidRPr="00E41E1D">
        <w:t xml:space="preserve">ias </w:t>
      </w:r>
      <w:r w:rsidRPr="00E41E1D">
        <w:t>occur</w:t>
      </w:r>
      <w:r w:rsidR="00421E64" w:rsidRPr="00E41E1D">
        <w:t>s</w:t>
      </w:r>
      <w:r w:rsidRPr="00E41E1D">
        <w:t xml:space="preserve"> more often when </w:t>
      </w:r>
      <w:r w:rsidR="00380682" w:rsidRPr="00E41E1D">
        <w:t>we are tired</w:t>
      </w:r>
      <w:r w:rsidRPr="00E41E1D">
        <w:t xml:space="preserve"> or </w:t>
      </w:r>
      <w:r w:rsidR="00380682" w:rsidRPr="00E41E1D">
        <w:t>make judgments based on first impressions</w:t>
      </w:r>
    </w:p>
    <w:p w14:paraId="4E91C45E" w14:textId="430D46C7" w:rsidR="00545AA5" w:rsidRPr="00E41E1D" w:rsidRDefault="00545AA5" w:rsidP="00B914CD">
      <w:r w:rsidRPr="00E41E1D">
        <w:t>Where to start?</w:t>
      </w:r>
    </w:p>
    <w:p w14:paraId="66DF481A" w14:textId="3AD4DAB7" w:rsidR="00545AA5" w:rsidRPr="00E41E1D" w:rsidRDefault="001804E0" w:rsidP="00A11CAF">
      <w:pPr>
        <w:pStyle w:val="ListParagraph"/>
        <w:numPr>
          <w:ilvl w:val="0"/>
          <w:numId w:val="5"/>
        </w:numPr>
        <w:spacing w:after="160"/>
        <w:ind w:left="714" w:hanging="357"/>
        <w:contextualSpacing w:val="0"/>
        <w:rPr>
          <w:rFonts w:cs="Segoe UI"/>
          <w:szCs w:val="24"/>
        </w:rPr>
      </w:pPr>
      <w:r w:rsidRPr="00E41E1D">
        <w:rPr>
          <w:rFonts w:cs="Segoe UI"/>
          <w:szCs w:val="24"/>
        </w:rPr>
        <w:t xml:space="preserve">Learn about </w:t>
      </w:r>
      <w:hyperlink r:id="rId12" w:history="1">
        <w:r w:rsidRPr="00E41E1D">
          <w:rPr>
            <w:rStyle w:val="Hyperlink"/>
          </w:rPr>
          <w:t>equity, diversity and inclusion</w:t>
        </w:r>
      </w:hyperlink>
      <w:r w:rsidR="00E42BDB" w:rsidRPr="00E41E1D">
        <w:t xml:space="preserve"> and </w:t>
      </w:r>
      <w:r w:rsidR="00E42BDB" w:rsidRPr="00E41E1D">
        <w:rPr>
          <w:rFonts w:cs="Segoe UI"/>
          <w:szCs w:val="24"/>
        </w:rPr>
        <w:t>r</w:t>
      </w:r>
      <w:r w:rsidR="00545AA5" w:rsidRPr="00E41E1D">
        <w:rPr>
          <w:rFonts w:cs="Segoe UI"/>
          <w:szCs w:val="24"/>
        </w:rPr>
        <w:t>eflect on personal biases that may impact your judgment of others</w:t>
      </w:r>
    </w:p>
    <w:p w14:paraId="6FB2486C" w14:textId="00F56B7E" w:rsidR="00545AA5" w:rsidRPr="00E41E1D" w:rsidRDefault="00545AA5" w:rsidP="00A11CAF">
      <w:pPr>
        <w:pStyle w:val="ListParagraph"/>
        <w:numPr>
          <w:ilvl w:val="0"/>
          <w:numId w:val="5"/>
        </w:numPr>
        <w:spacing w:after="160"/>
        <w:ind w:left="714" w:hanging="357"/>
        <w:contextualSpacing w:val="0"/>
        <w:rPr>
          <w:rFonts w:cs="Segoe UI"/>
          <w:szCs w:val="24"/>
        </w:rPr>
      </w:pPr>
      <w:r w:rsidRPr="00E41E1D">
        <w:rPr>
          <w:rFonts w:cs="Segoe UI"/>
          <w:szCs w:val="24"/>
        </w:rPr>
        <w:t xml:space="preserve">Learn about biases and barriers </w:t>
      </w:r>
      <w:r w:rsidR="00BE5078" w:rsidRPr="00E41E1D">
        <w:rPr>
          <w:rFonts w:cs="Segoe UI"/>
          <w:szCs w:val="24"/>
        </w:rPr>
        <w:t>with</w:t>
      </w:r>
      <w:r w:rsidR="001804E0" w:rsidRPr="00E41E1D">
        <w:rPr>
          <w:rFonts w:cs="Segoe UI"/>
          <w:szCs w:val="24"/>
        </w:rPr>
        <w:t>in</w:t>
      </w:r>
      <w:r w:rsidR="00BE5078" w:rsidRPr="00E41E1D">
        <w:rPr>
          <w:rFonts w:cs="Segoe UI"/>
          <w:szCs w:val="24"/>
        </w:rPr>
        <w:t xml:space="preserve"> your</w:t>
      </w:r>
      <w:r w:rsidRPr="00E41E1D">
        <w:rPr>
          <w:rFonts w:cs="Segoe UI"/>
          <w:szCs w:val="24"/>
        </w:rPr>
        <w:t xml:space="preserve"> </w:t>
      </w:r>
      <w:r w:rsidR="00974740" w:rsidRPr="00E41E1D">
        <w:rPr>
          <w:rFonts w:cs="Segoe UI"/>
          <w:szCs w:val="24"/>
        </w:rPr>
        <w:t>department</w:t>
      </w:r>
      <w:r w:rsidR="00BE5078" w:rsidRPr="00E41E1D">
        <w:rPr>
          <w:rFonts w:cs="Segoe UI"/>
          <w:szCs w:val="24"/>
        </w:rPr>
        <w:t xml:space="preserve"> </w:t>
      </w:r>
      <w:r w:rsidR="00020AA2" w:rsidRPr="00E41E1D">
        <w:rPr>
          <w:rFonts w:cs="Segoe UI"/>
          <w:szCs w:val="24"/>
        </w:rPr>
        <w:t xml:space="preserve">or agency </w:t>
      </w:r>
      <w:r w:rsidR="00BE5078" w:rsidRPr="00E41E1D">
        <w:rPr>
          <w:rFonts w:cs="Segoe UI"/>
          <w:szCs w:val="24"/>
        </w:rPr>
        <w:t>from</w:t>
      </w:r>
      <w:r w:rsidRPr="00E41E1D">
        <w:rPr>
          <w:rFonts w:cs="Segoe UI"/>
          <w:szCs w:val="24"/>
        </w:rPr>
        <w:t xml:space="preserve"> employment systems review</w:t>
      </w:r>
      <w:r w:rsidR="00C2396B" w:rsidRPr="00E41E1D">
        <w:rPr>
          <w:rFonts w:cs="Segoe UI"/>
          <w:szCs w:val="24"/>
        </w:rPr>
        <w:t>s</w:t>
      </w:r>
      <w:r w:rsidRPr="00E41E1D">
        <w:rPr>
          <w:rFonts w:cs="Segoe UI"/>
          <w:szCs w:val="24"/>
        </w:rPr>
        <w:t>, surveys, audits, reports, publications and data</w:t>
      </w:r>
    </w:p>
    <w:p w14:paraId="2A846D94" w14:textId="3687A1D8" w:rsidR="00545AA5" w:rsidRPr="00E41E1D" w:rsidRDefault="00545AA5" w:rsidP="00A11CAF">
      <w:pPr>
        <w:pStyle w:val="ListParagraph"/>
        <w:numPr>
          <w:ilvl w:val="0"/>
          <w:numId w:val="5"/>
        </w:numPr>
        <w:spacing w:after="160"/>
        <w:ind w:left="714" w:hanging="357"/>
        <w:contextualSpacing w:val="0"/>
        <w:rPr>
          <w:rFonts w:cs="Segoe UI"/>
          <w:szCs w:val="24"/>
        </w:rPr>
      </w:pPr>
      <w:r w:rsidRPr="00E41E1D">
        <w:rPr>
          <w:rFonts w:cs="Segoe UI"/>
          <w:szCs w:val="24"/>
        </w:rPr>
        <w:t>Engage with Employee Diversity Networks to learn of lived experiences in assessment</w:t>
      </w:r>
    </w:p>
    <w:p w14:paraId="7CAFA613" w14:textId="2DD49A77" w:rsidR="00545AA5" w:rsidRPr="00E41E1D" w:rsidRDefault="00545AA5" w:rsidP="00A11CAF">
      <w:pPr>
        <w:pStyle w:val="ListParagraph"/>
        <w:numPr>
          <w:ilvl w:val="0"/>
          <w:numId w:val="5"/>
        </w:numPr>
        <w:spacing w:after="160"/>
        <w:ind w:left="714" w:hanging="357"/>
        <w:contextualSpacing w:val="0"/>
        <w:rPr>
          <w:rFonts w:cs="Segoe UI"/>
          <w:szCs w:val="24"/>
        </w:rPr>
      </w:pPr>
      <w:r w:rsidRPr="00E41E1D">
        <w:rPr>
          <w:rFonts w:cs="Segoe UI"/>
          <w:szCs w:val="24"/>
        </w:rPr>
        <w:t>L</w:t>
      </w:r>
      <w:r w:rsidR="001E6EA6" w:rsidRPr="00E41E1D">
        <w:rPr>
          <w:rFonts w:cs="Segoe UI"/>
          <w:szCs w:val="24"/>
        </w:rPr>
        <w:t xml:space="preserve">earn to </w:t>
      </w:r>
      <w:r w:rsidR="00380682" w:rsidRPr="00E41E1D">
        <w:rPr>
          <w:rFonts w:cs="Segoe UI"/>
          <w:szCs w:val="24"/>
        </w:rPr>
        <w:t>spot</w:t>
      </w:r>
      <w:r w:rsidR="001E6EA6" w:rsidRPr="00E41E1D">
        <w:rPr>
          <w:rFonts w:cs="Segoe UI"/>
          <w:szCs w:val="24"/>
        </w:rPr>
        <w:t xml:space="preserve"> </w:t>
      </w:r>
      <w:hyperlink r:id="rId13" w:anchor="n37" w:history="1">
        <w:r w:rsidR="00974740" w:rsidRPr="00E41E1D">
          <w:rPr>
            <w:rStyle w:val="Hyperlink"/>
          </w:rPr>
          <w:t>common rating errors</w:t>
        </w:r>
      </w:hyperlink>
      <w:r w:rsidR="00906680" w:rsidRPr="00E41E1D">
        <w:rPr>
          <w:rFonts w:cs="Segoe UI"/>
          <w:szCs w:val="24"/>
        </w:rPr>
        <w:t xml:space="preserve"> in yourself and others</w:t>
      </w:r>
    </w:p>
    <w:p w14:paraId="397FB189" w14:textId="63A168D3" w:rsidR="00545AA5" w:rsidRPr="00E41E1D" w:rsidRDefault="00B34291" w:rsidP="00A11CAF">
      <w:pPr>
        <w:pStyle w:val="ListParagraph"/>
        <w:numPr>
          <w:ilvl w:val="0"/>
          <w:numId w:val="5"/>
        </w:numPr>
        <w:spacing w:after="160"/>
        <w:ind w:left="714" w:hanging="357"/>
        <w:contextualSpacing w:val="0"/>
        <w:rPr>
          <w:rFonts w:cs="Segoe UI"/>
          <w:szCs w:val="24"/>
        </w:rPr>
      </w:pPr>
      <w:r w:rsidRPr="00E41E1D">
        <w:rPr>
          <w:rFonts w:cs="Segoe UI"/>
          <w:szCs w:val="24"/>
        </w:rPr>
        <w:t>Commit to</w:t>
      </w:r>
      <w:r w:rsidR="00545AA5" w:rsidRPr="00E41E1D">
        <w:rPr>
          <w:rFonts w:cs="Segoe UI"/>
          <w:szCs w:val="24"/>
        </w:rPr>
        <w:t xml:space="preserve"> self-reflection </w:t>
      </w:r>
      <w:r w:rsidRPr="00E41E1D">
        <w:rPr>
          <w:rFonts w:cs="Segoe UI"/>
          <w:szCs w:val="24"/>
        </w:rPr>
        <w:t xml:space="preserve">exercises </w:t>
      </w:r>
      <w:r w:rsidR="00545AA5" w:rsidRPr="00E41E1D">
        <w:rPr>
          <w:rFonts w:cs="Segoe UI"/>
          <w:szCs w:val="24"/>
        </w:rPr>
        <w:t>and learning</w:t>
      </w:r>
    </w:p>
    <w:p w14:paraId="4C3B3E35" w14:textId="47DDC066" w:rsidR="00906680" w:rsidRPr="00E41E1D" w:rsidRDefault="00906680" w:rsidP="00A11CAF">
      <w:pPr>
        <w:pStyle w:val="ListParagraph"/>
        <w:numPr>
          <w:ilvl w:val="0"/>
          <w:numId w:val="5"/>
        </w:numPr>
        <w:spacing w:after="160"/>
        <w:ind w:left="714" w:hanging="357"/>
        <w:contextualSpacing w:val="0"/>
        <w:rPr>
          <w:rFonts w:cs="Segoe UI"/>
          <w:szCs w:val="24"/>
        </w:rPr>
      </w:pPr>
      <w:r w:rsidRPr="00E41E1D">
        <w:rPr>
          <w:rFonts w:cs="Segoe UI"/>
          <w:szCs w:val="24"/>
        </w:rPr>
        <w:t xml:space="preserve">Have the courage to </w:t>
      </w:r>
      <w:r w:rsidR="006A3AA7" w:rsidRPr="00E41E1D">
        <w:rPr>
          <w:rFonts w:cs="Segoe UI"/>
          <w:szCs w:val="24"/>
        </w:rPr>
        <w:t>approach</w:t>
      </w:r>
      <w:r w:rsidRPr="00E41E1D">
        <w:rPr>
          <w:rFonts w:cs="Segoe UI"/>
          <w:szCs w:val="24"/>
        </w:rPr>
        <w:t xml:space="preserve"> others if they are </w:t>
      </w:r>
      <w:r w:rsidR="007D7C22" w:rsidRPr="00E41E1D">
        <w:rPr>
          <w:rFonts w:cs="Segoe UI"/>
          <w:szCs w:val="24"/>
        </w:rPr>
        <w:t>being biased</w:t>
      </w:r>
    </w:p>
    <w:p w14:paraId="52BEE96C" w14:textId="19AECD3A" w:rsidR="007F4FCA" w:rsidRPr="00E41E1D" w:rsidRDefault="00545AA5" w:rsidP="00B914CD">
      <w:pPr>
        <w:pStyle w:val="IntenseQuote"/>
      </w:pPr>
      <w:r w:rsidRPr="00E41E1D">
        <w:t>Awareness requires constant self-reflection, desire to learn, and courage to change</w:t>
      </w:r>
      <w:r w:rsidR="005D23BB" w:rsidRPr="00E41E1D">
        <w:t>.</w:t>
      </w:r>
    </w:p>
    <w:p w14:paraId="5438CEBA" w14:textId="131728CE" w:rsidR="001E6EA6" w:rsidRPr="00E41E1D" w:rsidRDefault="001E6EA6" w:rsidP="00B914CD">
      <w:pPr>
        <w:pStyle w:val="Heading2"/>
        <w:rPr>
          <w:rFonts w:eastAsia="Times New Roman"/>
          <w:lang w:eastAsia="en-CA"/>
        </w:rPr>
      </w:pPr>
      <w:bookmarkStart w:id="9" w:name="_Toc99699170"/>
      <w:bookmarkStart w:id="10" w:name="_Toc107327223"/>
      <w:r w:rsidRPr="00E41E1D">
        <w:t>Principle</w:t>
      </w:r>
      <w:r w:rsidR="006A20EB" w:rsidRPr="00E41E1D">
        <w:t> </w:t>
      </w:r>
      <w:r w:rsidRPr="00E41E1D">
        <w:t>2: Accessibility</w:t>
      </w:r>
      <w:bookmarkEnd w:id="9"/>
      <w:bookmarkEnd w:id="10"/>
    </w:p>
    <w:p w14:paraId="42A6783D" w14:textId="7E4EE13C" w:rsidR="00FD4DF4" w:rsidRPr="00E41E1D" w:rsidRDefault="001E6EA6" w:rsidP="00B914CD">
      <w:r w:rsidRPr="00E41E1D">
        <w:t xml:space="preserve">Accessibility is about the ease of interaction between a person and the assessment. </w:t>
      </w:r>
      <w:r w:rsidR="00FD4DF4" w:rsidRPr="00E41E1D">
        <w:t>People should be able to perform at their best without barriers related to technology, scheduling, language, or any other factor unrelated to the assessment.</w:t>
      </w:r>
    </w:p>
    <w:p w14:paraId="47CE8BDB" w14:textId="2E3EDD89" w:rsidR="000B6099" w:rsidRPr="00E41E1D" w:rsidRDefault="000B6099" w:rsidP="00B914CD">
      <w:r w:rsidRPr="00E41E1D">
        <w:t>Why is accessibility important</w:t>
      </w:r>
      <w:r w:rsidR="000C45EF" w:rsidRPr="00E41E1D">
        <w:t>?</w:t>
      </w:r>
    </w:p>
    <w:p w14:paraId="18157DED" w14:textId="48505F99" w:rsidR="00BF71AA" w:rsidRPr="00E41E1D" w:rsidRDefault="004F299A" w:rsidP="00A11CAF">
      <w:pPr>
        <w:pStyle w:val="ListParagraph"/>
        <w:numPr>
          <w:ilvl w:val="0"/>
          <w:numId w:val="6"/>
        </w:numPr>
        <w:spacing w:after="160"/>
        <w:ind w:left="714" w:hanging="357"/>
        <w:contextualSpacing w:val="0"/>
      </w:pPr>
      <w:r w:rsidRPr="00E41E1D">
        <w:t>Encourages</w:t>
      </w:r>
      <w:r w:rsidR="008D26C8" w:rsidRPr="00E41E1D">
        <w:t xml:space="preserve"> people </w:t>
      </w:r>
      <w:r w:rsidR="00773EC2" w:rsidRPr="00E41E1D">
        <w:t>to apply and succeed</w:t>
      </w:r>
      <w:r w:rsidRPr="00E41E1D">
        <w:t xml:space="preserve"> (</w:t>
      </w:r>
      <w:r w:rsidR="00550019" w:rsidRPr="00E41E1D">
        <w:t xml:space="preserve">helps prevent </w:t>
      </w:r>
      <w:r w:rsidR="0042667B" w:rsidRPr="00E41E1D">
        <w:t xml:space="preserve">people from </w:t>
      </w:r>
      <w:r w:rsidRPr="00E41E1D">
        <w:t xml:space="preserve">screening </w:t>
      </w:r>
      <w:r w:rsidR="0042667B" w:rsidRPr="00E41E1D">
        <w:t xml:space="preserve">themselves </w:t>
      </w:r>
      <w:r w:rsidRPr="00E41E1D">
        <w:t>out</w:t>
      </w:r>
      <w:r w:rsidR="0042667B" w:rsidRPr="00E41E1D">
        <w:t>)</w:t>
      </w:r>
    </w:p>
    <w:p w14:paraId="5EBEF1CC" w14:textId="53EBD641" w:rsidR="008D26C8" w:rsidRPr="00E41E1D" w:rsidDel="00A0124C" w:rsidRDefault="00BF71AA" w:rsidP="00A11CAF">
      <w:pPr>
        <w:pStyle w:val="ListParagraph"/>
        <w:numPr>
          <w:ilvl w:val="0"/>
          <w:numId w:val="6"/>
        </w:numPr>
        <w:spacing w:after="160"/>
        <w:ind w:left="714" w:hanging="357"/>
        <w:contextualSpacing w:val="0"/>
      </w:pPr>
      <w:r w:rsidRPr="00E41E1D">
        <w:lastRenderedPageBreak/>
        <w:t xml:space="preserve">Allows people to </w:t>
      </w:r>
      <w:r w:rsidR="008D26C8" w:rsidRPr="00E41E1D">
        <w:t xml:space="preserve">show their </w:t>
      </w:r>
      <w:r w:rsidRPr="00E41E1D">
        <w:t>true</w:t>
      </w:r>
      <w:r w:rsidR="008D26C8" w:rsidRPr="00E41E1D">
        <w:t xml:space="preserve"> </w:t>
      </w:r>
      <w:r w:rsidR="00FD4DF4" w:rsidRPr="00E41E1D">
        <w:t>performance</w:t>
      </w:r>
    </w:p>
    <w:p w14:paraId="3C70C78B" w14:textId="3116D341" w:rsidR="000C45EF" w:rsidRPr="00E41E1D" w:rsidRDefault="00CA2C47" w:rsidP="00A11CAF">
      <w:pPr>
        <w:pStyle w:val="ListParagraph"/>
        <w:numPr>
          <w:ilvl w:val="0"/>
          <w:numId w:val="6"/>
        </w:numPr>
        <w:spacing w:after="160"/>
        <w:ind w:left="714" w:hanging="357"/>
        <w:contextualSpacing w:val="0"/>
      </w:pPr>
      <w:r w:rsidRPr="00E41E1D">
        <w:t>P</w:t>
      </w:r>
      <w:r w:rsidR="001E6EA6" w:rsidRPr="00E41E1D">
        <w:t>roduce</w:t>
      </w:r>
      <w:r w:rsidRPr="00E41E1D">
        <w:t>s</w:t>
      </w:r>
      <w:r w:rsidR="001E6EA6" w:rsidRPr="00E41E1D">
        <w:t xml:space="preserve"> </w:t>
      </w:r>
      <w:r w:rsidRPr="00E41E1D">
        <w:t xml:space="preserve">more </w:t>
      </w:r>
      <w:r w:rsidR="001E6EA6" w:rsidRPr="00E41E1D">
        <w:t xml:space="preserve">accurate </w:t>
      </w:r>
      <w:r w:rsidRPr="00E41E1D">
        <w:t>and</w:t>
      </w:r>
      <w:r w:rsidR="001E6EA6" w:rsidRPr="00E41E1D">
        <w:t xml:space="preserve"> reliable results</w:t>
      </w:r>
      <w:r w:rsidRPr="00E41E1D">
        <w:t xml:space="preserve"> for equity-seeking groups</w:t>
      </w:r>
    </w:p>
    <w:p w14:paraId="7AE8925F" w14:textId="77777777" w:rsidR="00FD4DF4" w:rsidRPr="00E41E1D" w:rsidRDefault="00FD4DF4" w:rsidP="00B914CD">
      <w:r w:rsidRPr="00E41E1D">
        <w:t>You can improve accessibility by:</w:t>
      </w:r>
    </w:p>
    <w:p w14:paraId="7952E911" w14:textId="4290DDAD" w:rsidR="00FD4DF4" w:rsidRPr="00E41E1D" w:rsidRDefault="00FD4DF4" w:rsidP="00A11CAF">
      <w:pPr>
        <w:pStyle w:val="ListParagraph"/>
        <w:numPr>
          <w:ilvl w:val="0"/>
          <w:numId w:val="7"/>
        </w:numPr>
        <w:spacing w:after="160"/>
        <w:ind w:left="714" w:hanging="357"/>
        <w:contextualSpacing w:val="0"/>
        <w:rPr>
          <w:rFonts w:cs="Segoe UI"/>
          <w:szCs w:val="24"/>
        </w:rPr>
      </w:pPr>
      <w:r w:rsidRPr="00E41E1D">
        <w:rPr>
          <w:rFonts w:cs="Segoe UI"/>
          <w:szCs w:val="24"/>
        </w:rPr>
        <w:t>B</w:t>
      </w:r>
      <w:r w:rsidR="00904988" w:rsidRPr="00E41E1D">
        <w:rPr>
          <w:rFonts w:cs="Segoe UI"/>
          <w:szCs w:val="24"/>
        </w:rPr>
        <w:t>e</w:t>
      </w:r>
      <w:r w:rsidRPr="00E41E1D">
        <w:rPr>
          <w:rFonts w:cs="Segoe UI"/>
          <w:szCs w:val="24"/>
        </w:rPr>
        <w:t>ing</w:t>
      </w:r>
      <w:r w:rsidR="00904988" w:rsidRPr="00E41E1D">
        <w:rPr>
          <w:rFonts w:cs="Segoe UI"/>
          <w:szCs w:val="24"/>
        </w:rPr>
        <w:t xml:space="preserve"> proactive</w:t>
      </w:r>
      <w:r w:rsidR="008A7794" w:rsidRPr="00E41E1D">
        <w:rPr>
          <w:rFonts w:cs="Segoe UI"/>
          <w:szCs w:val="24"/>
        </w:rPr>
        <w:t xml:space="preserve"> </w:t>
      </w:r>
      <w:r w:rsidR="002233D5" w:rsidRPr="00E41E1D">
        <w:rPr>
          <w:rFonts w:cs="Segoe UI"/>
          <w:szCs w:val="24"/>
        </w:rPr>
        <w:t>in</w:t>
      </w:r>
      <w:r w:rsidR="008A7794" w:rsidRPr="00E41E1D">
        <w:rPr>
          <w:rFonts w:cs="Segoe UI"/>
          <w:szCs w:val="24"/>
        </w:rPr>
        <w:t xml:space="preserve"> </w:t>
      </w:r>
      <w:r w:rsidR="002233D5" w:rsidRPr="00E41E1D">
        <w:rPr>
          <w:rFonts w:cs="Segoe UI"/>
          <w:szCs w:val="24"/>
        </w:rPr>
        <w:t xml:space="preserve">supporting </w:t>
      </w:r>
      <w:r w:rsidR="00666E0F" w:rsidRPr="00E41E1D">
        <w:rPr>
          <w:rFonts w:cs="Segoe UI"/>
          <w:szCs w:val="24"/>
        </w:rPr>
        <w:t xml:space="preserve">practices of </w:t>
      </w:r>
      <w:hyperlink r:id="rId14" w:history="1">
        <w:r w:rsidR="005E724A" w:rsidRPr="00E41E1D">
          <w:rPr>
            <w:rStyle w:val="Hyperlink"/>
            <w:rFonts w:eastAsia="Times New Roman"/>
          </w:rPr>
          <w:t>inclusion by design</w:t>
        </w:r>
      </w:hyperlink>
      <w:r w:rsidR="002233D5" w:rsidRPr="00E41E1D">
        <w:rPr>
          <w:rFonts w:cs="Segoe UI"/>
          <w:szCs w:val="24"/>
        </w:rPr>
        <w:t xml:space="preserve"> and</w:t>
      </w:r>
      <w:r w:rsidR="008A7794" w:rsidRPr="00E41E1D">
        <w:rPr>
          <w:rFonts w:cs="Segoe UI"/>
          <w:szCs w:val="24"/>
        </w:rPr>
        <w:t xml:space="preserve"> </w:t>
      </w:r>
      <w:r w:rsidR="006A3AA7" w:rsidRPr="00E41E1D">
        <w:rPr>
          <w:rFonts w:cs="Segoe UI"/>
          <w:szCs w:val="24"/>
        </w:rPr>
        <w:t xml:space="preserve">choosing </w:t>
      </w:r>
      <w:r w:rsidR="002233D5" w:rsidRPr="00E41E1D">
        <w:rPr>
          <w:rFonts w:cs="Segoe UI"/>
          <w:szCs w:val="24"/>
        </w:rPr>
        <w:t>accessib</w:t>
      </w:r>
      <w:r w:rsidR="006A3AA7" w:rsidRPr="00E41E1D">
        <w:rPr>
          <w:rFonts w:cs="Segoe UI"/>
          <w:szCs w:val="24"/>
        </w:rPr>
        <w:t>le assessment options</w:t>
      </w:r>
    </w:p>
    <w:p w14:paraId="1A05F395" w14:textId="1FFC07C6" w:rsidR="00FD4DF4" w:rsidRPr="00E41E1D" w:rsidRDefault="00A86E7D" w:rsidP="00A11CAF">
      <w:pPr>
        <w:pStyle w:val="ListParagraph"/>
        <w:numPr>
          <w:ilvl w:val="0"/>
          <w:numId w:val="7"/>
        </w:numPr>
        <w:spacing w:after="160"/>
        <w:ind w:left="714" w:hanging="357"/>
        <w:contextualSpacing w:val="0"/>
        <w:rPr>
          <w:rFonts w:cs="Segoe UI"/>
          <w:szCs w:val="24"/>
        </w:rPr>
      </w:pPr>
      <w:r w:rsidRPr="00E41E1D">
        <w:rPr>
          <w:rFonts w:cs="Segoe UI"/>
          <w:szCs w:val="24"/>
        </w:rPr>
        <w:t>Examining</w:t>
      </w:r>
      <w:r w:rsidR="00FD4DF4" w:rsidRPr="00E41E1D">
        <w:rPr>
          <w:rFonts w:cs="Segoe UI"/>
          <w:szCs w:val="24"/>
        </w:rPr>
        <w:t xml:space="preserve"> each</w:t>
      </w:r>
      <w:r w:rsidR="00904988" w:rsidRPr="00E41E1D">
        <w:rPr>
          <w:rFonts w:cs="Segoe UI"/>
          <w:szCs w:val="24"/>
        </w:rPr>
        <w:t xml:space="preserve"> aspect of </w:t>
      </w:r>
      <w:r w:rsidR="00CF32E5" w:rsidRPr="00E41E1D">
        <w:rPr>
          <w:rFonts w:cs="Segoe UI"/>
          <w:szCs w:val="24"/>
        </w:rPr>
        <w:t xml:space="preserve">the </w:t>
      </w:r>
      <w:r w:rsidR="00FD4DF4" w:rsidRPr="00E41E1D">
        <w:rPr>
          <w:rFonts w:cs="Segoe UI"/>
          <w:szCs w:val="24"/>
        </w:rPr>
        <w:t>development and administration</w:t>
      </w:r>
      <w:r w:rsidR="00CF32E5" w:rsidRPr="00E41E1D">
        <w:rPr>
          <w:rFonts w:cs="Segoe UI"/>
          <w:szCs w:val="24"/>
        </w:rPr>
        <w:t xml:space="preserve"> of the assessment</w:t>
      </w:r>
    </w:p>
    <w:p w14:paraId="0F180056" w14:textId="54D235BC" w:rsidR="00904988" w:rsidRPr="00E41E1D" w:rsidRDefault="00FD4DF4" w:rsidP="00A11CAF">
      <w:pPr>
        <w:pStyle w:val="ListParagraph"/>
        <w:numPr>
          <w:ilvl w:val="0"/>
          <w:numId w:val="7"/>
        </w:numPr>
        <w:spacing w:after="160"/>
        <w:ind w:left="714" w:hanging="357"/>
        <w:contextualSpacing w:val="0"/>
        <w:rPr>
          <w:rFonts w:cs="Segoe UI"/>
          <w:szCs w:val="24"/>
        </w:rPr>
      </w:pPr>
      <w:r w:rsidRPr="00E41E1D">
        <w:rPr>
          <w:rFonts w:cs="Segoe UI"/>
          <w:szCs w:val="24"/>
        </w:rPr>
        <w:t>Asking yourself</w:t>
      </w:r>
      <w:r w:rsidR="00904988" w:rsidRPr="00E41E1D">
        <w:rPr>
          <w:rFonts w:cs="Segoe UI"/>
          <w:szCs w:val="24"/>
        </w:rPr>
        <w:t xml:space="preserve"> whether </w:t>
      </w:r>
      <w:r w:rsidRPr="00E41E1D">
        <w:rPr>
          <w:rFonts w:cs="Segoe UI"/>
          <w:szCs w:val="24"/>
        </w:rPr>
        <w:t>the</w:t>
      </w:r>
      <w:r w:rsidR="00904988" w:rsidRPr="00E41E1D">
        <w:rPr>
          <w:rFonts w:cs="Segoe UI"/>
          <w:szCs w:val="24"/>
        </w:rPr>
        <w:t xml:space="preserve"> assessment is</w:t>
      </w:r>
      <w:r w:rsidR="00E41874" w:rsidRPr="00E41E1D">
        <w:rPr>
          <w:rFonts w:cs="Segoe UI"/>
          <w:szCs w:val="24"/>
        </w:rPr>
        <w:t xml:space="preserve"> in </w:t>
      </w:r>
      <w:hyperlink r:id="rId15" w:anchor="toc6" w:history="1">
        <w:r w:rsidR="00E41874" w:rsidRPr="00E41E1D">
          <w:rPr>
            <w:rStyle w:val="Hyperlink"/>
          </w:rPr>
          <w:t>plain language</w:t>
        </w:r>
      </w:hyperlink>
      <w:r w:rsidR="00904988" w:rsidRPr="00E41E1D">
        <w:rPr>
          <w:rFonts w:cs="Segoe UI"/>
          <w:szCs w:val="24"/>
        </w:rPr>
        <w:t xml:space="preserve">, </w:t>
      </w:r>
      <w:r w:rsidRPr="00E41E1D">
        <w:rPr>
          <w:rFonts w:cs="Segoe UI"/>
          <w:szCs w:val="24"/>
        </w:rPr>
        <w:t xml:space="preserve">neutral, adaptable, and </w:t>
      </w:r>
      <w:r w:rsidR="00904988" w:rsidRPr="00E41E1D">
        <w:rPr>
          <w:rFonts w:cs="Segoe UI"/>
          <w:szCs w:val="24"/>
        </w:rPr>
        <w:t xml:space="preserve">inclusive </w:t>
      </w:r>
      <w:r w:rsidRPr="00E41E1D">
        <w:rPr>
          <w:rFonts w:cs="Segoe UI"/>
          <w:szCs w:val="24"/>
        </w:rPr>
        <w:t>for</w:t>
      </w:r>
      <w:r w:rsidR="00904988" w:rsidRPr="00E41E1D">
        <w:rPr>
          <w:rFonts w:cs="Segoe UI"/>
          <w:szCs w:val="24"/>
        </w:rPr>
        <w:t xml:space="preserve"> different </w:t>
      </w:r>
      <w:r w:rsidR="00D92EB5" w:rsidRPr="00E41E1D">
        <w:rPr>
          <w:rFonts w:cs="Segoe UI"/>
          <w:szCs w:val="24"/>
        </w:rPr>
        <w:t xml:space="preserve">equity-seeking </w:t>
      </w:r>
      <w:r w:rsidR="00904988" w:rsidRPr="00E41E1D">
        <w:rPr>
          <w:rFonts w:cs="Segoe UI"/>
          <w:szCs w:val="24"/>
        </w:rPr>
        <w:t>groups</w:t>
      </w:r>
    </w:p>
    <w:p w14:paraId="22BC5CF2" w14:textId="486AB01C" w:rsidR="00FD4DF4" w:rsidRPr="00E41E1D" w:rsidRDefault="00FD4DF4" w:rsidP="00A11CAF">
      <w:pPr>
        <w:pStyle w:val="ListParagraph"/>
        <w:numPr>
          <w:ilvl w:val="0"/>
          <w:numId w:val="7"/>
        </w:numPr>
        <w:spacing w:after="160"/>
        <w:ind w:left="714" w:hanging="357"/>
        <w:contextualSpacing w:val="0"/>
        <w:rPr>
          <w:rFonts w:cs="Segoe UI"/>
          <w:szCs w:val="24"/>
        </w:rPr>
      </w:pPr>
      <w:r w:rsidRPr="00E41E1D">
        <w:rPr>
          <w:rFonts w:cs="Segoe UI"/>
          <w:szCs w:val="24"/>
        </w:rPr>
        <w:t>Learning more about accessibility and available tools</w:t>
      </w:r>
      <w:r w:rsidR="0039150D" w:rsidRPr="00E41E1D">
        <w:rPr>
          <w:rFonts w:cs="Segoe UI"/>
          <w:szCs w:val="24"/>
        </w:rPr>
        <w:t xml:space="preserve">, </w:t>
      </w:r>
      <w:r w:rsidR="00EA19B4" w:rsidRPr="00E41E1D">
        <w:rPr>
          <w:rFonts w:cs="Segoe UI"/>
          <w:szCs w:val="24"/>
        </w:rPr>
        <w:t>such as</w:t>
      </w:r>
      <w:r w:rsidR="0039150D" w:rsidRPr="00E41E1D">
        <w:rPr>
          <w:rFonts w:cs="Segoe UI"/>
          <w:szCs w:val="24"/>
        </w:rPr>
        <w:t xml:space="preserve"> the </w:t>
      </w:r>
      <w:hyperlink r:id="rId16" w:history="1">
        <w:r w:rsidR="004851D6" w:rsidRPr="00E41E1D">
          <w:rPr>
            <w:rStyle w:val="Hyperlink"/>
          </w:rPr>
          <w:t>Digital Accessibility Toolkit</w:t>
        </w:r>
      </w:hyperlink>
      <w:r w:rsidR="000B7E0A">
        <w:rPr>
          <w:rFonts w:cs="Segoe UI"/>
          <w:szCs w:val="24"/>
        </w:rPr>
        <w:t xml:space="preserve"> and</w:t>
      </w:r>
      <w:r w:rsidR="000B7E0A" w:rsidRPr="000B7E0A">
        <w:t xml:space="preserve"> </w:t>
      </w:r>
      <w:r w:rsidR="000B7E0A" w:rsidRPr="00E41E1D">
        <w:t xml:space="preserve">the </w:t>
      </w:r>
      <w:hyperlink r:id="rId17" w:history="1">
        <w:r w:rsidR="000B7E0A" w:rsidRPr="00E41E1D">
          <w:rPr>
            <w:rStyle w:val="Hyperlink"/>
          </w:rPr>
          <w:t>Government of Canada Workplace Accessibility Passport</w:t>
        </w:r>
      </w:hyperlink>
    </w:p>
    <w:p w14:paraId="4FA12D41" w14:textId="3DEF16D6" w:rsidR="006B1D6B" w:rsidRPr="00E41E1D" w:rsidRDefault="00545AA5" w:rsidP="00A11CAF">
      <w:pPr>
        <w:pStyle w:val="ListParagraph"/>
        <w:numPr>
          <w:ilvl w:val="0"/>
          <w:numId w:val="7"/>
        </w:numPr>
        <w:spacing w:after="160"/>
        <w:ind w:left="714" w:hanging="357"/>
        <w:contextualSpacing w:val="0"/>
        <w:rPr>
          <w:rFonts w:cs="Segoe UI"/>
          <w:szCs w:val="24"/>
        </w:rPr>
      </w:pPr>
      <w:r w:rsidRPr="00E41E1D">
        <w:rPr>
          <w:rFonts w:cs="Segoe UI"/>
          <w:szCs w:val="24"/>
        </w:rPr>
        <w:t xml:space="preserve">Being explicit </w:t>
      </w:r>
      <w:r w:rsidR="00217762" w:rsidRPr="00E41E1D">
        <w:rPr>
          <w:rFonts w:cs="Segoe UI"/>
          <w:szCs w:val="24"/>
        </w:rPr>
        <w:t>and facilitating an open discussion about the type of</w:t>
      </w:r>
      <w:r w:rsidR="00967A15" w:rsidRPr="00E41E1D">
        <w:rPr>
          <w:rFonts w:cs="Segoe UI"/>
          <w:szCs w:val="24"/>
        </w:rPr>
        <w:t xml:space="preserve"> </w:t>
      </w:r>
      <w:r w:rsidR="00217762" w:rsidRPr="00E41E1D">
        <w:rPr>
          <w:rFonts w:cs="Segoe UI"/>
          <w:szCs w:val="24"/>
        </w:rPr>
        <w:t xml:space="preserve">assessment and work </w:t>
      </w:r>
      <w:r w:rsidR="00967A15" w:rsidRPr="00E41E1D">
        <w:rPr>
          <w:rFonts w:cs="Segoe UI"/>
          <w:szCs w:val="24"/>
        </w:rPr>
        <w:t>accommodation</w:t>
      </w:r>
      <w:r w:rsidR="00217762" w:rsidRPr="00E41E1D">
        <w:rPr>
          <w:rFonts w:cs="Segoe UI"/>
          <w:szCs w:val="24"/>
        </w:rPr>
        <w:t>s</w:t>
      </w:r>
      <w:r w:rsidR="00967A15" w:rsidRPr="00E41E1D">
        <w:rPr>
          <w:rFonts w:cs="Segoe UI"/>
          <w:szCs w:val="24"/>
        </w:rPr>
        <w:t xml:space="preserve"> </w:t>
      </w:r>
      <w:r w:rsidR="006C3FB5" w:rsidRPr="00E41E1D">
        <w:rPr>
          <w:rFonts w:cs="Segoe UI"/>
          <w:szCs w:val="24"/>
        </w:rPr>
        <w:t>available</w:t>
      </w:r>
    </w:p>
    <w:p w14:paraId="4B8A294F" w14:textId="7BD625CD" w:rsidR="00C67E36" w:rsidRPr="000B7E0A" w:rsidRDefault="00C35430" w:rsidP="000B7E0A">
      <w:pPr>
        <w:pStyle w:val="ListParagraph"/>
        <w:numPr>
          <w:ilvl w:val="0"/>
          <w:numId w:val="7"/>
        </w:numPr>
        <w:spacing w:after="160"/>
        <w:ind w:left="714" w:hanging="357"/>
        <w:contextualSpacing w:val="0"/>
        <w:rPr>
          <w:rFonts w:cs="Segoe UI"/>
          <w:szCs w:val="24"/>
        </w:rPr>
      </w:pPr>
      <w:r w:rsidRPr="00E41E1D">
        <w:t xml:space="preserve">Providing </w:t>
      </w:r>
      <w:hyperlink r:id="rId18" w:history="1">
        <w:r w:rsidRPr="00E41E1D">
          <w:rPr>
            <w:rStyle w:val="Hyperlink"/>
            <w:rFonts w:cs="Segoe UI"/>
            <w:szCs w:val="24"/>
          </w:rPr>
          <w:t>assessment accommodations</w:t>
        </w:r>
      </w:hyperlink>
      <w:r w:rsidRPr="00E41E1D">
        <w:rPr>
          <w:rFonts w:cs="Segoe UI"/>
          <w:szCs w:val="24"/>
        </w:rPr>
        <w:t xml:space="preserve"> in a timely manner</w:t>
      </w:r>
    </w:p>
    <w:p w14:paraId="1179F7AD" w14:textId="2602FDB0" w:rsidR="001E6EA6" w:rsidRPr="00E41E1D" w:rsidRDefault="009D2360" w:rsidP="00B914CD">
      <w:pPr>
        <w:pStyle w:val="IntenseQuote"/>
      </w:pPr>
      <w:r w:rsidRPr="00E41E1D">
        <w:t xml:space="preserve">Design to allow more people to </w:t>
      </w:r>
      <w:r w:rsidR="00D92EB5" w:rsidRPr="00E41E1D">
        <w:t>show their true performance</w:t>
      </w:r>
      <w:r w:rsidR="005D23BB" w:rsidRPr="00E41E1D">
        <w:t>.</w:t>
      </w:r>
    </w:p>
    <w:p w14:paraId="0F1F582E" w14:textId="7289040B" w:rsidR="001E6EA6" w:rsidRPr="00E41E1D" w:rsidRDefault="001E6EA6" w:rsidP="00B914CD">
      <w:pPr>
        <w:pStyle w:val="Heading2"/>
        <w:rPr>
          <w:rFonts w:ascii="Noto Sans" w:eastAsia="Times New Roman" w:hAnsi="Noto Sans" w:cs="Noto Sans"/>
          <w:b w:val="0"/>
          <w:bCs/>
          <w:color w:val="333333"/>
          <w:szCs w:val="24"/>
          <w:lang w:eastAsia="en-CA"/>
        </w:rPr>
      </w:pPr>
      <w:bookmarkStart w:id="11" w:name="_Toc99699171"/>
      <w:bookmarkStart w:id="12" w:name="_Toc107327224"/>
      <w:r w:rsidRPr="00E41E1D">
        <w:t>Principle</w:t>
      </w:r>
      <w:r w:rsidR="006A20EB" w:rsidRPr="00E41E1D">
        <w:t> </w:t>
      </w:r>
      <w:r w:rsidRPr="00E41E1D">
        <w:t xml:space="preserve">3: Validity and </w:t>
      </w:r>
      <w:r w:rsidR="007A06EF" w:rsidRPr="00E41E1D">
        <w:t>r</w:t>
      </w:r>
      <w:r w:rsidRPr="00E41E1D">
        <w:t>eliability</w:t>
      </w:r>
      <w:bookmarkEnd w:id="11"/>
      <w:bookmarkEnd w:id="12"/>
    </w:p>
    <w:p w14:paraId="0FC601FD" w14:textId="606DC78E" w:rsidR="00786EEC" w:rsidRPr="00E41E1D" w:rsidRDefault="001E6EA6" w:rsidP="00B914CD">
      <w:r w:rsidRPr="00E41E1D">
        <w:t xml:space="preserve">A fair assessment measures the qualifications it </w:t>
      </w:r>
      <w:r w:rsidR="009C15D3" w:rsidRPr="00E41E1D">
        <w:t>intends</w:t>
      </w:r>
      <w:r w:rsidRPr="00E41E1D">
        <w:t xml:space="preserve"> to measure with accuracy (validity) and consistency (reliability).</w:t>
      </w:r>
    </w:p>
    <w:p w14:paraId="2AA0A3F8" w14:textId="77777777" w:rsidR="00786EEC" w:rsidRPr="00E41E1D" w:rsidRDefault="00786EEC" w:rsidP="00B914CD">
      <w:r w:rsidRPr="00E41E1D">
        <w:t>Why are validity and reliability important?</w:t>
      </w:r>
    </w:p>
    <w:p w14:paraId="18DCF689" w14:textId="31C46E84" w:rsidR="00786EEC" w:rsidRPr="00E41E1D" w:rsidRDefault="009C15D3" w:rsidP="00A11CAF">
      <w:pPr>
        <w:pStyle w:val="ListParagraph"/>
        <w:numPr>
          <w:ilvl w:val="0"/>
          <w:numId w:val="8"/>
        </w:numPr>
        <w:spacing w:after="160"/>
        <w:ind w:left="714" w:hanging="357"/>
      </w:pPr>
      <w:r w:rsidRPr="00E41E1D">
        <w:t>A valid and reliable tool allows for a good evaluation of merit</w:t>
      </w:r>
    </w:p>
    <w:p w14:paraId="3592FE3B" w14:textId="316DC14F" w:rsidR="0004781C" w:rsidRPr="00E41E1D" w:rsidRDefault="0004781C" w:rsidP="00A11CAF">
      <w:pPr>
        <w:pStyle w:val="ListParagraph"/>
        <w:numPr>
          <w:ilvl w:val="0"/>
          <w:numId w:val="8"/>
        </w:numPr>
        <w:spacing w:after="160"/>
        <w:ind w:left="714" w:hanging="357"/>
      </w:pPr>
      <w:r w:rsidRPr="00E41E1D">
        <w:t>A valid tool</w:t>
      </w:r>
      <w:r w:rsidR="00786EEC" w:rsidRPr="00E41E1D">
        <w:t xml:space="preserve"> </w:t>
      </w:r>
      <w:r w:rsidR="00781D62" w:rsidRPr="00E41E1D">
        <w:t xml:space="preserve">directly </w:t>
      </w:r>
      <w:r w:rsidR="00A771AA" w:rsidRPr="00E41E1D">
        <w:t>measures</w:t>
      </w:r>
      <w:r w:rsidR="00180F66" w:rsidRPr="00E41E1D">
        <w:t xml:space="preserve"> the qualifications that are needed for the job</w:t>
      </w:r>
    </w:p>
    <w:p w14:paraId="39D0E8D6" w14:textId="4D2ED70E" w:rsidR="00786EEC" w:rsidRPr="00E41E1D" w:rsidRDefault="0004781C" w:rsidP="00A11CAF">
      <w:pPr>
        <w:pStyle w:val="ListParagraph"/>
        <w:numPr>
          <w:ilvl w:val="0"/>
          <w:numId w:val="8"/>
        </w:numPr>
        <w:spacing w:after="160"/>
        <w:ind w:left="714" w:hanging="357"/>
      </w:pPr>
      <w:r w:rsidRPr="00E41E1D">
        <w:t>A reliable tool</w:t>
      </w:r>
      <w:r w:rsidR="00786EEC" w:rsidRPr="00E41E1D">
        <w:t xml:space="preserve"> </w:t>
      </w:r>
      <w:r w:rsidR="00180F66" w:rsidRPr="00E41E1D">
        <w:t>produce</w:t>
      </w:r>
      <w:r w:rsidRPr="00E41E1D">
        <w:t>s</w:t>
      </w:r>
      <w:r w:rsidR="00180F66" w:rsidRPr="00E41E1D">
        <w:t xml:space="preserve"> </w:t>
      </w:r>
      <w:r w:rsidR="005B76FE" w:rsidRPr="00E41E1D">
        <w:t>comparable</w:t>
      </w:r>
      <w:r w:rsidR="00180F66" w:rsidRPr="00E41E1D">
        <w:t xml:space="preserve"> results across time, different assessment environments</w:t>
      </w:r>
      <w:r w:rsidR="00DE04F6" w:rsidRPr="00E41E1D">
        <w:t xml:space="preserve"> and </w:t>
      </w:r>
      <w:r w:rsidR="00F766CD" w:rsidRPr="00E41E1D">
        <w:t xml:space="preserve">different </w:t>
      </w:r>
      <w:r w:rsidR="0090484C" w:rsidRPr="00E41E1D">
        <w:t xml:space="preserve">assessment </w:t>
      </w:r>
      <w:r w:rsidR="00DA63F9" w:rsidRPr="00E41E1D">
        <w:t>boards</w:t>
      </w:r>
    </w:p>
    <w:p w14:paraId="34D9ACC6" w14:textId="0E5FDE6D" w:rsidR="00180F66" w:rsidRPr="00E41E1D" w:rsidRDefault="00382A90" w:rsidP="00B914CD">
      <w:r w:rsidRPr="00E41E1D">
        <w:t>You can improve validity and reliability by</w:t>
      </w:r>
      <w:r w:rsidR="00180F66" w:rsidRPr="00E41E1D">
        <w:t>:</w:t>
      </w:r>
    </w:p>
    <w:p w14:paraId="66AF253D" w14:textId="13303BFD" w:rsidR="00382A90" w:rsidRPr="00E41E1D" w:rsidRDefault="003E1420" w:rsidP="00A11CAF">
      <w:pPr>
        <w:pStyle w:val="ListParagraph"/>
        <w:numPr>
          <w:ilvl w:val="0"/>
          <w:numId w:val="9"/>
        </w:numPr>
        <w:spacing w:after="160"/>
        <w:ind w:left="714" w:hanging="357"/>
      </w:pPr>
      <w:r w:rsidRPr="00E41E1D">
        <w:t xml:space="preserve">Looking for and evaluating </w:t>
      </w:r>
      <w:r w:rsidR="00382A90" w:rsidRPr="00E41E1D">
        <w:t>criteria</w:t>
      </w:r>
      <w:r w:rsidRPr="00E41E1D">
        <w:t xml:space="preserve"> (behaviours, </w:t>
      </w:r>
      <w:r w:rsidR="00DC5313" w:rsidRPr="00E41E1D">
        <w:t>skills</w:t>
      </w:r>
      <w:r w:rsidRPr="00E41E1D">
        <w:t xml:space="preserve">, </w:t>
      </w:r>
      <w:r w:rsidR="00DC5313" w:rsidRPr="00E41E1D">
        <w:t xml:space="preserve">abilities, </w:t>
      </w:r>
      <w:r w:rsidRPr="00E41E1D">
        <w:t>etc.)</w:t>
      </w:r>
      <w:r w:rsidR="00382A90" w:rsidRPr="00E41E1D">
        <w:t xml:space="preserve"> that are job relevant</w:t>
      </w:r>
    </w:p>
    <w:p w14:paraId="68347FC8" w14:textId="62F491CC" w:rsidR="00382A90" w:rsidRPr="00E41E1D" w:rsidRDefault="00382A90" w:rsidP="00A11CAF">
      <w:pPr>
        <w:pStyle w:val="ListParagraph"/>
        <w:numPr>
          <w:ilvl w:val="0"/>
          <w:numId w:val="9"/>
        </w:numPr>
        <w:spacing w:after="160"/>
        <w:ind w:left="714" w:hanging="357"/>
      </w:pPr>
      <w:r w:rsidRPr="00E41E1D">
        <w:t>Selecting an appropriate assessment method</w:t>
      </w:r>
      <w:r w:rsidR="009A7903" w:rsidRPr="00E41E1D">
        <w:t xml:space="preserve"> and seeking expert assistance, as required</w:t>
      </w:r>
    </w:p>
    <w:p w14:paraId="411707B4" w14:textId="73492B79" w:rsidR="00382A90" w:rsidRPr="00E41E1D" w:rsidRDefault="00382A90" w:rsidP="00A11CAF">
      <w:pPr>
        <w:pStyle w:val="ListParagraph"/>
        <w:numPr>
          <w:ilvl w:val="0"/>
          <w:numId w:val="9"/>
        </w:numPr>
        <w:spacing w:after="160"/>
        <w:ind w:left="714" w:hanging="357"/>
      </w:pPr>
      <w:r w:rsidRPr="00E41E1D">
        <w:t>Staying alert. Limit fatigue on candidates and assessors</w:t>
      </w:r>
    </w:p>
    <w:p w14:paraId="2B8F5B62" w14:textId="19FC253F" w:rsidR="00382A90" w:rsidRPr="00E41E1D" w:rsidRDefault="00382A90" w:rsidP="00A11CAF">
      <w:pPr>
        <w:pStyle w:val="ListParagraph"/>
        <w:numPr>
          <w:ilvl w:val="0"/>
          <w:numId w:val="9"/>
        </w:numPr>
        <w:spacing w:after="160"/>
        <w:ind w:left="714" w:hanging="357"/>
      </w:pPr>
      <w:r w:rsidRPr="00E41E1D">
        <w:t>Reducing administration errors (incomplete instructions, inconsistent timing)</w:t>
      </w:r>
    </w:p>
    <w:p w14:paraId="35B19405" w14:textId="77777777" w:rsidR="00382A90" w:rsidRPr="00E41E1D" w:rsidRDefault="00382A90" w:rsidP="00A11CAF">
      <w:pPr>
        <w:pStyle w:val="ListParagraph"/>
        <w:numPr>
          <w:ilvl w:val="0"/>
          <w:numId w:val="9"/>
        </w:numPr>
        <w:spacing w:after="160"/>
        <w:ind w:left="714" w:hanging="357"/>
      </w:pPr>
      <w:r w:rsidRPr="00E41E1D">
        <w:t>Providing a comfortable testing environment free of distractions</w:t>
      </w:r>
    </w:p>
    <w:p w14:paraId="7888605A" w14:textId="0DE22D24" w:rsidR="00382A90" w:rsidRPr="00E41E1D" w:rsidRDefault="008D0A29" w:rsidP="00A11CAF">
      <w:pPr>
        <w:pStyle w:val="ListParagraph"/>
        <w:numPr>
          <w:ilvl w:val="0"/>
          <w:numId w:val="9"/>
        </w:numPr>
        <w:spacing w:after="160"/>
        <w:ind w:left="714" w:hanging="357"/>
      </w:pPr>
      <w:r w:rsidRPr="00E41E1D">
        <w:t>Ensuring consistent use of the rating system across assessment</w:t>
      </w:r>
      <w:r w:rsidR="00382A90" w:rsidRPr="00E41E1D">
        <w:t xml:space="preserve"> board</w:t>
      </w:r>
      <w:r w:rsidRPr="00E41E1D">
        <w:t>s</w:t>
      </w:r>
    </w:p>
    <w:p w14:paraId="29177AC7" w14:textId="5BCB19EF" w:rsidR="001E6EA6" w:rsidRPr="00E41E1D" w:rsidRDefault="002F4E0C" w:rsidP="00B914CD">
      <w:pPr>
        <w:pStyle w:val="IntenseQuote"/>
      </w:pPr>
      <w:r w:rsidRPr="00E41E1D">
        <w:lastRenderedPageBreak/>
        <w:t>M</w:t>
      </w:r>
      <w:r w:rsidR="001E6EA6" w:rsidRPr="00E41E1D">
        <w:t>easur</w:t>
      </w:r>
      <w:r w:rsidR="006C0FB9" w:rsidRPr="00E41E1D">
        <w:t>e</w:t>
      </w:r>
      <w:r w:rsidR="001E6EA6" w:rsidRPr="00E41E1D">
        <w:t xml:space="preserve"> </w:t>
      </w:r>
      <w:r w:rsidR="00DE5D32" w:rsidRPr="00E41E1D">
        <w:t>the qualifications</w:t>
      </w:r>
      <w:r w:rsidR="001E6EA6" w:rsidRPr="00E41E1D">
        <w:t xml:space="preserve"> with accuracy and consistency </w:t>
      </w:r>
      <w:r w:rsidR="006C0FB9" w:rsidRPr="00E41E1D">
        <w:t xml:space="preserve">to </w:t>
      </w:r>
      <w:r w:rsidR="001E6EA6" w:rsidRPr="00E41E1D">
        <w:t>improve selection decisions</w:t>
      </w:r>
      <w:r w:rsidR="005D23BB" w:rsidRPr="00E41E1D">
        <w:t>.</w:t>
      </w:r>
    </w:p>
    <w:p w14:paraId="04CDDCDE" w14:textId="287B629C" w:rsidR="001E6EA6" w:rsidRPr="00E41E1D" w:rsidRDefault="001E6EA6" w:rsidP="00B914CD">
      <w:pPr>
        <w:pStyle w:val="Heading2"/>
        <w:rPr>
          <w:rFonts w:ascii="Noto Sans" w:eastAsia="Times New Roman" w:hAnsi="Noto Sans" w:cs="Noto Sans"/>
          <w:b w:val="0"/>
          <w:bCs/>
          <w:color w:val="333333"/>
          <w:szCs w:val="24"/>
          <w:lang w:eastAsia="en-CA"/>
        </w:rPr>
      </w:pPr>
      <w:bookmarkStart w:id="13" w:name="_Toc99699172"/>
      <w:bookmarkStart w:id="14" w:name="_Toc107327225"/>
      <w:r w:rsidRPr="00E41E1D">
        <w:t>Principle</w:t>
      </w:r>
      <w:r w:rsidR="006A20EB" w:rsidRPr="00E41E1D">
        <w:t> </w:t>
      </w:r>
      <w:r w:rsidRPr="00E41E1D">
        <w:t xml:space="preserve">4: </w:t>
      </w:r>
      <w:r w:rsidR="00C60DBB" w:rsidRPr="00E41E1D">
        <w:t xml:space="preserve">Flexible </w:t>
      </w:r>
      <w:r w:rsidRPr="00E41E1D">
        <w:t>Standardization</w:t>
      </w:r>
      <w:bookmarkEnd w:id="13"/>
      <w:bookmarkEnd w:id="14"/>
    </w:p>
    <w:p w14:paraId="69C8A49C" w14:textId="4EB8BD2A" w:rsidR="00180F66" w:rsidRPr="00E41E1D" w:rsidRDefault="00904372" w:rsidP="00B914CD">
      <w:r w:rsidRPr="00E41E1D">
        <w:t>When s</w:t>
      </w:r>
      <w:r w:rsidR="001E6EA6" w:rsidRPr="00E41E1D">
        <w:t>tandardiz</w:t>
      </w:r>
      <w:r w:rsidRPr="00E41E1D">
        <w:t xml:space="preserve">ing an assessment, the </w:t>
      </w:r>
      <w:r w:rsidR="001E6EA6" w:rsidRPr="00E41E1D">
        <w:t xml:space="preserve">same method </w:t>
      </w:r>
      <w:r w:rsidRPr="00E41E1D">
        <w:t xml:space="preserve">is used </w:t>
      </w:r>
      <w:r w:rsidR="001E6EA6" w:rsidRPr="00E41E1D">
        <w:t xml:space="preserve">in the </w:t>
      </w:r>
      <w:r w:rsidRPr="00E41E1D">
        <w:t xml:space="preserve">exact </w:t>
      </w:r>
      <w:r w:rsidR="001E6EA6" w:rsidRPr="00E41E1D">
        <w:t xml:space="preserve">same way </w:t>
      </w:r>
      <w:r w:rsidR="00FC4FA9" w:rsidRPr="00E41E1D">
        <w:t xml:space="preserve">for </w:t>
      </w:r>
      <w:r w:rsidRPr="00E41E1D">
        <w:t xml:space="preserve">each </w:t>
      </w:r>
      <w:r w:rsidR="001E6EA6" w:rsidRPr="00E41E1D">
        <w:t>person. This could include using the same instructions, test content, administration</w:t>
      </w:r>
      <w:r w:rsidR="00F2463F" w:rsidRPr="00E41E1D">
        <w:t>,</w:t>
      </w:r>
      <w:r w:rsidR="001E6EA6" w:rsidRPr="00E41E1D">
        <w:t xml:space="preserve"> and </w:t>
      </w:r>
      <w:r w:rsidRPr="00E41E1D">
        <w:t>rating system</w:t>
      </w:r>
      <w:r w:rsidR="001E6EA6" w:rsidRPr="00E41E1D">
        <w:t xml:space="preserve">. </w:t>
      </w:r>
      <w:r w:rsidR="00FC4FA9" w:rsidRPr="00E41E1D">
        <w:t>However, t</w:t>
      </w:r>
      <w:r w:rsidR="00DC5557" w:rsidRPr="00E41E1D">
        <w:t xml:space="preserve">reating everyone the same should not prevent </w:t>
      </w:r>
      <w:r w:rsidR="0068646B" w:rsidRPr="00E41E1D">
        <w:t xml:space="preserve">some </w:t>
      </w:r>
      <w:r w:rsidR="00DC5557" w:rsidRPr="00E41E1D">
        <w:t xml:space="preserve">people from being able to </w:t>
      </w:r>
      <w:r w:rsidRPr="00E41E1D">
        <w:t>perform at their best</w:t>
      </w:r>
      <w:r w:rsidR="00DC5557" w:rsidRPr="00E41E1D">
        <w:t>.</w:t>
      </w:r>
    </w:p>
    <w:p w14:paraId="69814433" w14:textId="55F062E5" w:rsidR="00180F66" w:rsidRPr="00E41E1D" w:rsidRDefault="00180F66" w:rsidP="00B914CD">
      <w:r w:rsidRPr="00E41E1D">
        <w:t>Why is standardization important?</w:t>
      </w:r>
    </w:p>
    <w:p w14:paraId="3C8DC85F" w14:textId="1F4E861F" w:rsidR="00180F66" w:rsidRPr="00E41E1D" w:rsidRDefault="00904372" w:rsidP="00A11CAF">
      <w:pPr>
        <w:pStyle w:val="ListParagraph"/>
        <w:numPr>
          <w:ilvl w:val="0"/>
          <w:numId w:val="10"/>
        </w:numPr>
        <w:spacing w:after="160"/>
        <w:ind w:left="714" w:hanging="357"/>
      </w:pPr>
      <w:r w:rsidRPr="00E41E1D">
        <w:t>P</w:t>
      </w:r>
      <w:r w:rsidR="00180F66" w:rsidRPr="00E41E1D">
        <w:t>romotes</w:t>
      </w:r>
      <w:r w:rsidR="001E6EA6" w:rsidRPr="00E41E1D">
        <w:t xml:space="preserve"> fairness by </w:t>
      </w:r>
      <w:r w:rsidR="00BA03AB" w:rsidRPr="00E41E1D">
        <w:t>minimizing biases that are not related to the assessment</w:t>
      </w:r>
    </w:p>
    <w:p w14:paraId="2439A807" w14:textId="19876843" w:rsidR="00180F66" w:rsidRPr="00E41E1D" w:rsidRDefault="00904372" w:rsidP="00A11CAF">
      <w:pPr>
        <w:pStyle w:val="ListParagraph"/>
        <w:numPr>
          <w:ilvl w:val="0"/>
          <w:numId w:val="10"/>
        </w:numPr>
        <w:spacing w:after="160"/>
        <w:ind w:left="714" w:hanging="357"/>
      </w:pPr>
      <w:r w:rsidRPr="00E41E1D">
        <w:t xml:space="preserve">Reduces </w:t>
      </w:r>
      <w:r w:rsidR="00BE694D" w:rsidRPr="00E41E1D">
        <w:t>variations in testing conditions</w:t>
      </w:r>
      <w:r w:rsidRPr="00E41E1D">
        <w:t xml:space="preserve"> to </w:t>
      </w:r>
      <w:r w:rsidR="00A9515B" w:rsidRPr="00E41E1D">
        <w:t>better capture and compare performance</w:t>
      </w:r>
    </w:p>
    <w:p w14:paraId="23BF18DA" w14:textId="233F4FCD" w:rsidR="00180F66" w:rsidRPr="00E41E1D" w:rsidRDefault="00A9515B" w:rsidP="00A11CAF">
      <w:pPr>
        <w:pStyle w:val="ListParagraph"/>
        <w:numPr>
          <w:ilvl w:val="0"/>
          <w:numId w:val="10"/>
        </w:numPr>
        <w:spacing w:after="160"/>
        <w:ind w:left="714" w:hanging="357"/>
      </w:pPr>
      <w:r w:rsidRPr="00E41E1D">
        <w:t xml:space="preserve">Helps </w:t>
      </w:r>
      <w:r w:rsidR="00180F66" w:rsidRPr="00E41E1D">
        <w:t>preserve</w:t>
      </w:r>
      <w:r w:rsidRPr="00E41E1D">
        <w:t xml:space="preserve"> </w:t>
      </w:r>
      <w:r w:rsidR="00180F66" w:rsidRPr="00E41E1D">
        <w:t xml:space="preserve">validity and reliability </w:t>
      </w:r>
      <w:r w:rsidRPr="00E41E1D">
        <w:t>by keeping testing conditions consistent</w:t>
      </w:r>
    </w:p>
    <w:p w14:paraId="215D3644" w14:textId="3D4E50B4" w:rsidR="00180F66" w:rsidRPr="00E41E1D" w:rsidRDefault="00A9515B" w:rsidP="00B914CD">
      <w:r w:rsidRPr="00E41E1D">
        <w:t>You can show flexibility in</w:t>
      </w:r>
      <w:r w:rsidR="00180F66" w:rsidRPr="00E41E1D">
        <w:t xml:space="preserve"> standardiz</w:t>
      </w:r>
      <w:r w:rsidR="00571BEA" w:rsidRPr="00E41E1D">
        <w:t>ed assessments b</w:t>
      </w:r>
      <w:r w:rsidRPr="00E41E1D">
        <w:t>y:</w:t>
      </w:r>
    </w:p>
    <w:p w14:paraId="13E7B69D" w14:textId="4E950E46" w:rsidR="00DC5557" w:rsidRPr="00E41E1D" w:rsidRDefault="00DC5557" w:rsidP="00A11CAF">
      <w:pPr>
        <w:pStyle w:val="ListParagraph"/>
        <w:numPr>
          <w:ilvl w:val="0"/>
          <w:numId w:val="11"/>
        </w:numPr>
        <w:spacing w:after="160"/>
        <w:ind w:left="714" w:hanging="357"/>
        <w:contextualSpacing w:val="0"/>
      </w:pPr>
      <w:r w:rsidRPr="00E41E1D">
        <w:t>Proposing flexible schedules</w:t>
      </w:r>
      <w:r w:rsidR="00BA2456" w:rsidRPr="00E41E1D">
        <w:t>. This</w:t>
      </w:r>
      <w:r w:rsidRPr="00E41E1D">
        <w:t xml:space="preserve"> will </w:t>
      </w:r>
      <w:r w:rsidR="00F633B5" w:rsidRPr="00E41E1D">
        <w:t xml:space="preserve">give people </w:t>
      </w:r>
      <w:r w:rsidR="00E85D3D" w:rsidRPr="00E41E1D">
        <w:t xml:space="preserve">more opportunities and </w:t>
      </w:r>
      <w:r w:rsidR="00F633B5" w:rsidRPr="00E41E1D">
        <w:t>a better chance to prepare</w:t>
      </w:r>
    </w:p>
    <w:p w14:paraId="6C0B1BAF" w14:textId="4634E375" w:rsidR="002F4E0C" w:rsidRPr="00E41E1D" w:rsidRDefault="002F4E0C" w:rsidP="00A11CAF">
      <w:pPr>
        <w:pStyle w:val="ListParagraph"/>
        <w:numPr>
          <w:ilvl w:val="0"/>
          <w:numId w:val="11"/>
        </w:numPr>
        <w:spacing w:after="160"/>
        <w:ind w:left="714" w:hanging="357"/>
        <w:contextualSpacing w:val="0"/>
      </w:pPr>
      <w:r w:rsidRPr="00E41E1D">
        <w:t xml:space="preserve">Using multiple assessment tools to measure a single qualification. </w:t>
      </w:r>
      <w:r w:rsidR="00A60994" w:rsidRPr="00E41E1D">
        <w:t xml:space="preserve">This will give you </w:t>
      </w:r>
      <w:r w:rsidR="00697C24" w:rsidRPr="00E41E1D">
        <w:t>additional sources of information</w:t>
      </w:r>
      <w:r w:rsidR="00A60994" w:rsidRPr="00E41E1D">
        <w:t xml:space="preserve"> about performance</w:t>
      </w:r>
    </w:p>
    <w:p w14:paraId="1E68AF8D" w14:textId="15995B46" w:rsidR="00DC5313" w:rsidRPr="00E41E1D" w:rsidRDefault="00DC5313" w:rsidP="00A11CAF">
      <w:pPr>
        <w:pStyle w:val="ListParagraph"/>
        <w:numPr>
          <w:ilvl w:val="0"/>
          <w:numId w:val="11"/>
        </w:numPr>
        <w:spacing w:after="160"/>
        <w:ind w:left="714" w:hanging="357"/>
        <w:contextualSpacing w:val="0"/>
      </w:pPr>
      <w:r w:rsidRPr="00E41E1D">
        <w:t xml:space="preserve">Showing flexibility </w:t>
      </w:r>
      <w:r w:rsidR="007206B3" w:rsidRPr="00E41E1D">
        <w:t xml:space="preserve">by treating assessment accommodations </w:t>
      </w:r>
      <w:r w:rsidRPr="00E41E1D">
        <w:t>case-by-case</w:t>
      </w:r>
      <w:r w:rsidR="007206B3" w:rsidRPr="00E41E1D">
        <w:t>, while</w:t>
      </w:r>
      <w:r w:rsidRPr="00E41E1D">
        <w:t xml:space="preserve"> still </w:t>
      </w:r>
      <w:r w:rsidR="007206B3" w:rsidRPr="00E41E1D">
        <w:t>keeping</w:t>
      </w:r>
      <w:r w:rsidRPr="00E41E1D">
        <w:t xml:space="preserve"> standardization in the nature and level of the qualification being assessed</w:t>
      </w:r>
    </w:p>
    <w:p w14:paraId="4D41E4BD" w14:textId="7AB79459" w:rsidR="002F4E0C" w:rsidRPr="00E41E1D" w:rsidRDefault="00DC5557" w:rsidP="00A11CAF">
      <w:pPr>
        <w:pStyle w:val="ListParagraph"/>
        <w:numPr>
          <w:ilvl w:val="0"/>
          <w:numId w:val="11"/>
        </w:numPr>
        <w:spacing w:after="160"/>
        <w:ind w:left="714" w:hanging="357"/>
        <w:contextualSpacing w:val="0"/>
      </w:pPr>
      <w:r w:rsidRPr="00E41E1D">
        <w:t xml:space="preserve">Offering </w:t>
      </w:r>
      <w:r w:rsidR="005B76FE" w:rsidRPr="00E41E1D">
        <w:t>diverse</w:t>
      </w:r>
      <w:r w:rsidRPr="00E41E1D">
        <w:t xml:space="preserve"> options and non-traditional assessment methods</w:t>
      </w:r>
      <w:r w:rsidR="00BA2456" w:rsidRPr="00E41E1D">
        <w:t>. This</w:t>
      </w:r>
      <w:r w:rsidRPr="00E41E1D">
        <w:t xml:space="preserve"> </w:t>
      </w:r>
      <w:r w:rsidR="00FB5529" w:rsidRPr="00E41E1D">
        <w:t>can</w:t>
      </w:r>
      <w:r w:rsidRPr="00E41E1D">
        <w:t xml:space="preserve"> create more opportunities for people to </w:t>
      </w:r>
      <w:r w:rsidR="00BA2456" w:rsidRPr="00E41E1D">
        <w:t>perform at their best</w:t>
      </w:r>
      <w:r w:rsidR="009A7903" w:rsidRPr="00E41E1D">
        <w:t xml:space="preserve"> (see</w:t>
      </w:r>
      <w:r w:rsidR="002F4E0C" w:rsidRPr="00E41E1D">
        <w:t xml:space="preserve"> the guide on </w:t>
      </w:r>
      <w:hyperlink r:id="rId19" w:anchor="t2" w:history="1">
        <w:r w:rsidR="002F4E0C" w:rsidRPr="00E41E1D">
          <w:rPr>
            <w:rStyle w:val="Hyperlink"/>
          </w:rPr>
          <w:t>Flexibility in Assessment</w:t>
        </w:r>
      </w:hyperlink>
      <w:r w:rsidR="009A7903" w:rsidRPr="00E41E1D">
        <w:t>)</w:t>
      </w:r>
    </w:p>
    <w:p w14:paraId="0EA0A6D5" w14:textId="7630DCBB" w:rsidR="00DC5557" w:rsidRPr="00E41E1D" w:rsidRDefault="00FD3EBA" w:rsidP="00B914CD">
      <w:pPr>
        <w:pStyle w:val="IntenseQuote"/>
      </w:pPr>
      <w:r w:rsidRPr="00E41E1D">
        <w:t>Standardization can strengthen flexible approaches in assessment</w:t>
      </w:r>
      <w:r w:rsidR="005D23BB" w:rsidRPr="00E41E1D">
        <w:t>.</w:t>
      </w:r>
    </w:p>
    <w:p w14:paraId="740AEE9E" w14:textId="212B5B06" w:rsidR="001E6EA6" w:rsidRPr="00E41E1D" w:rsidRDefault="001E6EA6" w:rsidP="00B914CD">
      <w:pPr>
        <w:pStyle w:val="Heading2"/>
        <w:rPr>
          <w:rFonts w:ascii="Noto Sans" w:eastAsia="Times New Roman" w:hAnsi="Noto Sans" w:cs="Noto Sans"/>
          <w:b w:val="0"/>
          <w:bCs/>
          <w:color w:val="333333"/>
          <w:szCs w:val="24"/>
          <w:lang w:eastAsia="en-CA"/>
        </w:rPr>
      </w:pPr>
      <w:bookmarkStart w:id="15" w:name="_Toc99699173"/>
      <w:bookmarkStart w:id="16" w:name="_Toc107327226"/>
      <w:bookmarkStart w:id="17" w:name="_Hlk91066297"/>
      <w:r w:rsidRPr="00E41E1D">
        <w:t>Principle</w:t>
      </w:r>
      <w:r w:rsidR="006A20EB" w:rsidRPr="00E41E1D">
        <w:t> </w:t>
      </w:r>
      <w:r w:rsidRPr="00E41E1D">
        <w:t>5:</w:t>
      </w:r>
      <w:bookmarkStart w:id="18" w:name="_Hlk90965793"/>
      <w:r w:rsidRPr="00E41E1D">
        <w:t xml:space="preserve"> Transparency</w:t>
      </w:r>
      <w:bookmarkEnd w:id="15"/>
      <w:bookmarkEnd w:id="16"/>
    </w:p>
    <w:p w14:paraId="6BF30F34" w14:textId="6FC31B81" w:rsidR="001E5550" w:rsidRPr="00E41E1D" w:rsidRDefault="001E6EA6" w:rsidP="00B914CD">
      <w:r w:rsidRPr="00E41E1D">
        <w:t xml:space="preserve">People perform at their best when they understand what is being assessed and how they will be </w:t>
      </w:r>
      <w:r w:rsidR="00B32BC4" w:rsidRPr="00E41E1D">
        <w:t>rated</w:t>
      </w:r>
      <w:r w:rsidRPr="00E41E1D">
        <w:t xml:space="preserve">. </w:t>
      </w:r>
      <w:r w:rsidR="00727645" w:rsidRPr="00E41E1D">
        <w:t>Be mindful that selection decisions can be challenged. Documenting</w:t>
      </w:r>
      <w:r w:rsidR="00EC06B1" w:rsidRPr="00E41E1D">
        <w:t xml:space="preserve"> and communicating</w:t>
      </w:r>
      <w:r w:rsidR="00727645" w:rsidRPr="00E41E1D">
        <w:t xml:space="preserve"> the reasons behind each decision (for example, choice of assessment method</w:t>
      </w:r>
      <w:r w:rsidR="007931CA" w:rsidRPr="00E41E1D">
        <w:t xml:space="preserve"> or</w:t>
      </w:r>
      <w:r w:rsidR="00727645" w:rsidRPr="00E41E1D">
        <w:t xml:space="preserve"> pass mark) can help ensure integrity and transparency</w:t>
      </w:r>
      <w:r w:rsidR="00723A5D" w:rsidRPr="00E41E1D">
        <w:t>.</w:t>
      </w:r>
    </w:p>
    <w:p w14:paraId="216ED5FF" w14:textId="7B524DD2" w:rsidR="001E5550" w:rsidRPr="00E41E1D" w:rsidRDefault="001E5550" w:rsidP="00B914CD">
      <w:r w:rsidRPr="00E41E1D">
        <w:t>Why is transparency important?</w:t>
      </w:r>
    </w:p>
    <w:p w14:paraId="6453CD2D" w14:textId="2B0329C3" w:rsidR="00A218FD" w:rsidRPr="00E41E1D" w:rsidRDefault="00DB1578" w:rsidP="00A11CAF">
      <w:pPr>
        <w:pStyle w:val="ListParagraph"/>
        <w:numPr>
          <w:ilvl w:val="0"/>
          <w:numId w:val="12"/>
        </w:numPr>
        <w:spacing w:after="160"/>
        <w:ind w:left="714" w:hanging="357"/>
      </w:pPr>
      <w:r w:rsidRPr="00E41E1D">
        <w:t>I</w:t>
      </w:r>
      <w:r w:rsidR="003D6F0F" w:rsidRPr="00E41E1D">
        <w:t>ncrease</w:t>
      </w:r>
      <w:r w:rsidRPr="00E41E1D">
        <w:t>s</w:t>
      </w:r>
      <w:r w:rsidR="003D6F0F" w:rsidRPr="00E41E1D">
        <w:t xml:space="preserve"> trust in the staffing process</w:t>
      </w:r>
    </w:p>
    <w:p w14:paraId="1F871F02" w14:textId="52DD45AA" w:rsidR="001E5550" w:rsidRPr="00E41E1D" w:rsidRDefault="001E5550" w:rsidP="00A11CAF">
      <w:pPr>
        <w:pStyle w:val="ListParagraph"/>
        <w:numPr>
          <w:ilvl w:val="0"/>
          <w:numId w:val="12"/>
        </w:numPr>
        <w:spacing w:after="160"/>
        <w:ind w:left="714" w:hanging="357"/>
      </w:pPr>
      <w:r w:rsidRPr="00E41E1D">
        <w:lastRenderedPageBreak/>
        <w:t>Helps</w:t>
      </w:r>
      <w:r w:rsidR="001E6EA6" w:rsidRPr="00E41E1D">
        <w:t xml:space="preserve"> new </w:t>
      </w:r>
      <w:r w:rsidRPr="00E41E1D">
        <w:t>and external candidates understand the complex assessment process</w:t>
      </w:r>
    </w:p>
    <w:p w14:paraId="0A8550F1" w14:textId="6785BAC8" w:rsidR="00A218FD" w:rsidRPr="00E41E1D" w:rsidRDefault="00A218FD" w:rsidP="00A11CAF">
      <w:pPr>
        <w:pStyle w:val="ListParagraph"/>
        <w:numPr>
          <w:ilvl w:val="0"/>
          <w:numId w:val="12"/>
        </w:numPr>
        <w:spacing w:after="160"/>
        <w:ind w:left="714" w:hanging="357"/>
      </w:pPr>
      <w:r w:rsidRPr="00E41E1D">
        <w:t>Pro</w:t>
      </w:r>
      <w:r w:rsidR="00380517" w:rsidRPr="00E41E1D">
        <w:t>motes</w:t>
      </w:r>
      <w:r w:rsidRPr="00E41E1D">
        <w:t xml:space="preserve"> a positive assessment experience and reduces test anxiety</w:t>
      </w:r>
    </w:p>
    <w:p w14:paraId="4A2A14EC" w14:textId="3E3FD776" w:rsidR="003D6F0F" w:rsidRPr="00E41E1D" w:rsidRDefault="003D6F0F" w:rsidP="00B914CD">
      <w:r w:rsidRPr="00E41E1D">
        <w:t xml:space="preserve">What </w:t>
      </w:r>
      <w:r w:rsidR="00C72289" w:rsidRPr="00E41E1D">
        <w:t xml:space="preserve">information </w:t>
      </w:r>
      <w:r w:rsidRPr="00E41E1D">
        <w:t>to communicate</w:t>
      </w:r>
      <w:r w:rsidR="00387529" w:rsidRPr="00E41E1D">
        <w:t xml:space="preserve"> to candidates</w:t>
      </w:r>
      <w:r w:rsidRPr="00E41E1D">
        <w:t>?</w:t>
      </w:r>
    </w:p>
    <w:p w14:paraId="5EB14095" w14:textId="07D3AC8E" w:rsidR="0095341D" w:rsidRPr="00E41E1D" w:rsidRDefault="0095341D" w:rsidP="00A11CAF">
      <w:pPr>
        <w:pStyle w:val="ListParagraph"/>
        <w:numPr>
          <w:ilvl w:val="0"/>
          <w:numId w:val="13"/>
        </w:numPr>
        <w:spacing w:after="160"/>
        <w:ind w:left="714" w:hanging="357"/>
        <w:contextualSpacing w:val="0"/>
      </w:pPr>
      <w:r w:rsidRPr="00E41E1D">
        <w:t>Information about the assessment (</w:t>
      </w:r>
      <w:r w:rsidR="00CD192F" w:rsidRPr="00E41E1D">
        <w:t xml:space="preserve">qualifications being assessed, </w:t>
      </w:r>
      <w:r w:rsidRPr="00E41E1D">
        <w:t>type of questions</w:t>
      </w:r>
      <w:r w:rsidR="00CD192F" w:rsidRPr="00E41E1D">
        <w:t xml:space="preserve"> and duration</w:t>
      </w:r>
      <w:r w:rsidRPr="00E41E1D">
        <w:t>)</w:t>
      </w:r>
    </w:p>
    <w:p w14:paraId="51076ABF" w14:textId="5121BA19" w:rsidR="0095341D" w:rsidRPr="00E41E1D" w:rsidRDefault="0095341D" w:rsidP="00A11CAF">
      <w:pPr>
        <w:pStyle w:val="ListParagraph"/>
        <w:numPr>
          <w:ilvl w:val="0"/>
          <w:numId w:val="13"/>
        </w:numPr>
        <w:spacing w:after="160"/>
        <w:ind w:left="714" w:hanging="357"/>
        <w:contextualSpacing w:val="0"/>
      </w:pPr>
      <w:r w:rsidRPr="00E41E1D">
        <w:t xml:space="preserve">Tips on how to prepare and </w:t>
      </w:r>
      <w:r w:rsidR="00EC06B1" w:rsidRPr="00E41E1D">
        <w:t xml:space="preserve">how to </w:t>
      </w:r>
      <w:r w:rsidRPr="00E41E1D">
        <w:t>structure responses</w:t>
      </w:r>
    </w:p>
    <w:p w14:paraId="2496FA54" w14:textId="0606E8C7" w:rsidR="0095341D" w:rsidRPr="00E41E1D" w:rsidRDefault="0095341D" w:rsidP="00A11CAF">
      <w:pPr>
        <w:pStyle w:val="ListParagraph"/>
        <w:numPr>
          <w:ilvl w:val="0"/>
          <w:numId w:val="13"/>
        </w:numPr>
        <w:spacing w:after="160"/>
        <w:ind w:left="714" w:hanging="357"/>
        <w:contextualSpacing w:val="0"/>
      </w:pPr>
      <w:r w:rsidRPr="00E41E1D">
        <w:t>Type of flexibilities available that don</w:t>
      </w:r>
      <w:r w:rsidR="00A218FD" w:rsidRPr="00E41E1D">
        <w:t>’t</w:t>
      </w:r>
      <w:r w:rsidRPr="00E41E1D">
        <w:t xml:space="preserve"> require </w:t>
      </w:r>
      <w:r w:rsidR="009147EC" w:rsidRPr="00E41E1D">
        <w:t xml:space="preserve">assessment </w:t>
      </w:r>
      <w:r w:rsidRPr="00E41E1D">
        <w:t xml:space="preserve">accommodations (change in administration date, </w:t>
      </w:r>
      <w:r w:rsidR="001D735C" w:rsidRPr="00E41E1D">
        <w:t>different</w:t>
      </w:r>
      <w:r w:rsidR="00FD1036" w:rsidRPr="00E41E1D">
        <w:t xml:space="preserve"> response formats</w:t>
      </w:r>
      <w:r w:rsidRPr="00E41E1D">
        <w:t>)</w:t>
      </w:r>
    </w:p>
    <w:p w14:paraId="4F0E334B" w14:textId="7095A779" w:rsidR="0095341D" w:rsidRPr="00E41E1D" w:rsidRDefault="0095341D" w:rsidP="00A11CAF">
      <w:pPr>
        <w:pStyle w:val="ListParagraph"/>
        <w:numPr>
          <w:ilvl w:val="0"/>
          <w:numId w:val="13"/>
        </w:numPr>
        <w:spacing w:after="160"/>
        <w:ind w:left="714" w:hanging="357"/>
        <w:contextualSpacing w:val="0"/>
      </w:pPr>
      <w:r w:rsidRPr="00E41E1D">
        <w:t xml:space="preserve">Type of </w:t>
      </w:r>
      <w:r w:rsidR="00B36200" w:rsidRPr="00E41E1D">
        <w:t xml:space="preserve">assessment </w:t>
      </w:r>
      <w:r w:rsidRPr="00E41E1D">
        <w:t>accommodations that might help reduce specific barriers (use of assistive technology</w:t>
      </w:r>
      <w:r w:rsidR="00FB48B6" w:rsidRPr="00E41E1D">
        <w:t>, additional breaks</w:t>
      </w:r>
      <w:r w:rsidRPr="00E41E1D">
        <w:t>) and how to ask for them</w:t>
      </w:r>
    </w:p>
    <w:p w14:paraId="6ED2A8B9" w14:textId="0EAD77FA" w:rsidR="0095341D" w:rsidRPr="00E41E1D" w:rsidRDefault="0095341D" w:rsidP="00A11CAF">
      <w:pPr>
        <w:pStyle w:val="ListParagraph"/>
        <w:numPr>
          <w:ilvl w:val="0"/>
          <w:numId w:val="13"/>
        </w:numPr>
        <w:spacing w:after="160"/>
        <w:ind w:left="714" w:hanging="357"/>
        <w:contextualSpacing w:val="0"/>
      </w:pPr>
      <w:r w:rsidRPr="00E41E1D">
        <w:t>Ways to ask for more information (during an orientation session, reading info</w:t>
      </w:r>
      <w:r w:rsidR="00FB48B6" w:rsidRPr="00E41E1D">
        <w:t>rmation</w:t>
      </w:r>
      <w:r w:rsidRPr="00E41E1D">
        <w:t xml:space="preserve"> package</w:t>
      </w:r>
      <w:r w:rsidR="0006076C" w:rsidRPr="00E41E1D">
        <w:t>, etc.</w:t>
      </w:r>
      <w:r w:rsidRPr="00E41E1D">
        <w:t>)</w:t>
      </w:r>
    </w:p>
    <w:p w14:paraId="3441FED3" w14:textId="3CFF8F2A" w:rsidR="0095341D" w:rsidRPr="00E41E1D" w:rsidRDefault="00A218FD" w:rsidP="00A11CAF">
      <w:pPr>
        <w:pStyle w:val="ListParagraph"/>
        <w:numPr>
          <w:ilvl w:val="0"/>
          <w:numId w:val="13"/>
        </w:numPr>
        <w:spacing w:after="160"/>
        <w:ind w:left="714" w:hanging="357"/>
        <w:contextualSpacing w:val="0"/>
      </w:pPr>
      <w:r w:rsidRPr="00E41E1D">
        <w:t xml:space="preserve">Reasons </w:t>
      </w:r>
      <w:r w:rsidR="0095341D" w:rsidRPr="00E41E1D">
        <w:t xml:space="preserve">why a certain approach is taken if there is minimal flexibility. For example, </w:t>
      </w:r>
      <w:r w:rsidRPr="00E41E1D">
        <w:t xml:space="preserve">explaining the use of </w:t>
      </w:r>
      <w:r w:rsidR="0095341D" w:rsidRPr="00E41E1D">
        <w:t xml:space="preserve">a standardized written exam to assess </w:t>
      </w:r>
      <w:r w:rsidR="00BD73FD" w:rsidRPr="00E41E1D">
        <w:t>many</w:t>
      </w:r>
      <w:r w:rsidR="0095341D" w:rsidRPr="00E41E1D">
        <w:t xml:space="preserve"> people</w:t>
      </w:r>
    </w:p>
    <w:p w14:paraId="24185A15" w14:textId="0D586D72" w:rsidR="001E6EA6" w:rsidRPr="00E41E1D" w:rsidRDefault="003E6AF7" w:rsidP="00B914CD">
      <w:pPr>
        <w:pStyle w:val="IntenseQuote"/>
      </w:pPr>
      <w:r w:rsidRPr="00E41E1D">
        <w:t>Be explicit and proactive. Tell candidates what to expect</w:t>
      </w:r>
      <w:r w:rsidR="00D81581" w:rsidRPr="00E41E1D">
        <w:t>.</w:t>
      </w:r>
    </w:p>
    <w:p w14:paraId="55448D5A" w14:textId="174FC20F" w:rsidR="001E6EA6" w:rsidRPr="00E41E1D" w:rsidRDefault="001E6EA6" w:rsidP="00B914CD">
      <w:pPr>
        <w:pStyle w:val="Heading2"/>
      </w:pPr>
      <w:bookmarkStart w:id="19" w:name="_Toc99699174"/>
      <w:bookmarkStart w:id="20" w:name="_Toc107327227"/>
      <w:r w:rsidRPr="00E41E1D">
        <w:t>Principle</w:t>
      </w:r>
      <w:r w:rsidR="006A20EB" w:rsidRPr="00E41E1D">
        <w:t> </w:t>
      </w:r>
      <w:r w:rsidRPr="00E41E1D">
        <w:t>6: Fairness</w:t>
      </w:r>
      <w:bookmarkEnd w:id="19"/>
      <w:bookmarkEnd w:id="20"/>
    </w:p>
    <w:p w14:paraId="5E3422CD" w14:textId="130BFF83" w:rsidR="002708AB" w:rsidRPr="00E41E1D" w:rsidRDefault="00C54DE9" w:rsidP="00B914CD">
      <w:r w:rsidRPr="00E41E1D">
        <w:t xml:space="preserve">The goal of an assessment is to </w:t>
      </w:r>
      <w:r w:rsidR="005D0B6E" w:rsidRPr="00E41E1D">
        <w:t>give</w:t>
      </w:r>
      <w:r w:rsidRPr="00E41E1D">
        <w:t xml:space="preserve"> everyone </w:t>
      </w:r>
      <w:r w:rsidR="00E35984" w:rsidRPr="00E41E1D">
        <w:t>the chance to perform at their best</w:t>
      </w:r>
      <w:r w:rsidRPr="00E41E1D">
        <w:t xml:space="preserve">. </w:t>
      </w:r>
      <w:r w:rsidR="00F84085" w:rsidRPr="00E41E1D">
        <w:t xml:space="preserve">Fairness is a fundamental concept that is considered </w:t>
      </w:r>
      <w:r w:rsidR="00ED4B86" w:rsidRPr="00E41E1D">
        <w:t>from the start of an assessment process</w:t>
      </w:r>
      <w:r w:rsidR="00F84085" w:rsidRPr="00E41E1D">
        <w:t>.</w:t>
      </w:r>
      <w:r w:rsidR="00ED4B86" w:rsidRPr="00E41E1D">
        <w:t xml:space="preserve"> </w:t>
      </w:r>
      <w:r w:rsidR="002708AB" w:rsidRPr="00E41E1D">
        <w:t xml:space="preserve">The </w:t>
      </w:r>
      <w:hyperlink r:id="rId20" w:history="1">
        <w:r w:rsidR="002708AB" w:rsidRPr="00E41E1D">
          <w:rPr>
            <w:rStyle w:val="Hyperlink"/>
          </w:rPr>
          <w:t>inclusive appointment lens</w:t>
        </w:r>
      </w:hyperlink>
      <w:r w:rsidR="00600004" w:rsidRPr="00E41E1D">
        <w:t xml:space="preserve"> and </w:t>
      </w:r>
      <w:hyperlink r:id="rId21" w:history="1">
        <w:r w:rsidR="00600004" w:rsidRPr="00E41E1D">
          <w:rPr>
            <w:rStyle w:val="Hyperlink"/>
          </w:rPr>
          <w:t>fairness review checklist</w:t>
        </w:r>
      </w:hyperlink>
      <w:r w:rsidR="00600004" w:rsidRPr="00E41E1D">
        <w:t xml:space="preserve"> </w:t>
      </w:r>
      <w:r w:rsidR="002708AB" w:rsidRPr="00E41E1D">
        <w:t>can help you build fairness into each step of the process.</w:t>
      </w:r>
    </w:p>
    <w:p w14:paraId="2365F755" w14:textId="34411AB1" w:rsidR="00F84085" w:rsidRPr="00E41E1D" w:rsidRDefault="00F84085" w:rsidP="00B914CD">
      <w:r w:rsidRPr="00E41E1D">
        <w:t>Why is fairness important?</w:t>
      </w:r>
    </w:p>
    <w:p w14:paraId="57D77630" w14:textId="1905DBDC" w:rsidR="00F84085" w:rsidRPr="00E41E1D" w:rsidRDefault="00F84085" w:rsidP="00A11CAF">
      <w:pPr>
        <w:pStyle w:val="ListParagraph"/>
        <w:numPr>
          <w:ilvl w:val="0"/>
          <w:numId w:val="14"/>
        </w:numPr>
        <w:spacing w:after="160"/>
        <w:ind w:left="714" w:hanging="357"/>
      </w:pPr>
      <w:r w:rsidRPr="00E41E1D">
        <w:t>Gives equal opportunity to all candidates, including members of equity-seeking groups</w:t>
      </w:r>
    </w:p>
    <w:p w14:paraId="10D04A83" w14:textId="2B32F3DC" w:rsidR="00F84085" w:rsidRPr="00E41E1D" w:rsidRDefault="00F84085" w:rsidP="00A11CAF">
      <w:pPr>
        <w:pStyle w:val="ListParagraph"/>
        <w:numPr>
          <w:ilvl w:val="0"/>
          <w:numId w:val="14"/>
        </w:numPr>
        <w:spacing w:after="160"/>
        <w:ind w:left="714" w:hanging="357"/>
      </w:pPr>
      <w:r w:rsidRPr="00E41E1D">
        <w:t>Fosters trust in the staffing process and promotes a positive assessment experience</w:t>
      </w:r>
    </w:p>
    <w:p w14:paraId="5CC21816" w14:textId="01D86983" w:rsidR="00F84085" w:rsidRPr="00E41E1D" w:rsidRDefault="00F84085" w:rsidP="00A11CAF">
      <w:pPr>
        <w:pStyle w:val="ListParagraph"/>
        <w:numPr>
          <w:ilvl w:val="0"/>
          <w:numId w:val="14"/>
        </w:numPr>
        <w:spacing w:after="160"/>
        <w:ind w:left="714" w:hanging="357"/>
      </w:pPr>
      <w:r w:rsidRPr="00E41E1D">
        <w:t>Supports the legal defensibility of an assessment</w:t>
      </w:r>
    </w:p>
    <w:p w14:paraId="66547B56" w14:textId="20EC57FF" w:rsidR="00F84085" w:rsidRPr="00E41E1D" w:rsidRDefault="00F84085" w:rsidP="00B914CD">
      <w:r w:rsidRPr="00E41E1D">
        <w:t>You can show fairness by ensuring that:</w:t>
      </w:r>
    </w:p>
    <w:p w14:paraId="5D6216E6" w14:textId="5327B9ED" w:rsidR="00F84085" w:rsidRPr="00E41E1D" w:rsidRDefault="00F84085" w:rsidP="00A11CAF">
      <w:pPr>
        <w:pStyle w:val="ListParagraph"/>
        <w:numPr>
          <w:ilvl w:val="0"/>
          <w:numId w:val="15"/>
        </w:numPr>
        <w:spacing w:after="160"/>
        <w:ind w:left="714" w:hanging="357"/>
        <w:contextualSpacing w:val="0"/>
      </w:pPr>
      <w:r w:rsidRPr="00E41E1D">
        <w:t xml:space="preserve">All candidates are </w:t>
      </w:r>
      <w:r w:rsidR="003146C0" w:rsidRPr="00E41E1D">
        <w:t>given</w:t>
      </w:r>
      <w:r w:rsidRPr="00E41E1D">
        <w:t xml:space="preserve"> a fair opportunity to demonstrate their qualifications</w:t>
      </w:r>
    </w:p>
    <w:p w14:paraId="7FA0F94E" w14:textId="77777777" w:rsidR="00F84085" w:rsidRPr="00E41E1D" w:rsidRDefault="00F84085" w:rsidP="00A11CAF">
      <w:pPr>
        <w:pStyle w:val="ListParagraph"/>
        <w:numPr>
          <w:ilvl w:val="0"/>
          <w:numId w:val="15"/>
        </w:numPr>
        <w:spacing w:after="160"/>
        <w:ind w:left="714" w:hanging="357"/>
        <w:contextualSpacing w:val="0"/>
      </w:pPr>
      <w:r w:rsidRPr="00E41E1D">
        <w:t>The qualifications assessed are those required for the position</w:t>
      </w:r>
    </w:p>
    <w:p w14:paraId="720F278C" w14:textId="36149782" w:rsidR="00F84085" w:rsidRPr="00E41E1D" w:rsidRDefault="00434E06" w:rsidP="00A11CAF">
      <w:pPr>
        <w:pStyle w:val="ListParagraph"/>
        <w:numPr>
          <w:ilvl w:val="0"/>
          <w:numId w:val="15"/>
        </w:numPr>
        <w:spacing w:after="160"/>
        <w:ind w:left="714" w:hanging="357"/>
        <w:contextualSpacing w:val="0"/>
      </w:pPr>
      <w:r w:rsidRPr="00E41E1D">
        <w:t>The v</w:t>
      </w:r>
      <w:r w:rsidR="00F84085" w:rsidRPr="00E41E1D">
        <w:t>arious ways people learn and perform on the job are considered when choosing or designing an assessment</w:t>
      </w:r>
    </w:p>
    <w:p w14:paraId="2559EC39" w14:textId="6B7F43BA" w:rsidR="00F84085" w:rsidRPr="00E41E1D" w:rsidRDefault="00F84085" w:rsidP="00A11CAF">
      <w:pPr>
        <w:pStyle w:val="ListParagraph"/>
        <w:numPr>
          <w:ilvl w:val="0"/>
          <w:numId w:val="15"/>
        </w:numPr>
        <w:spacing w:after="160"/>
        <w:ind w:left="714" w:hanging="357"/>
        <w:contextualSpacing w:val="0"/>
      </w:pPr>
      <w:r w:rsidRPr="00E41E1D">
        <w:lastRenderedPageBreak/>
        <w:t xml:space="preserve">The assessment method provides </w:t>
      </w:r>
      <w:r w:rsidR="00950D08" w:rsidRPr="00E41E1D">
        <w:t xml:space="preserve">valid and </w:t>
      </w:r>
      <w:r w:rsidRPr="00E41E1D">
        <w:t>reliable measures of the qualifications</w:t>
      </w:r>
    </w:p>
    <w:p w14:paraId="1FBE1CCC" w14:textId="0822621C" w:rsidR="001E6EA6" w:rsidRPr="00E41E1D" w:rsidRDefault="00F84085" w:rsidP="00A11CAF">
      <w:pPr>
        <w:pStyle w:val="ListParagraph"/>
        <w:numPr>
          <w:ilvl w:val="0"/>
          <w:numId w:val="15"/>
        </w:numPr>
        <w:spacing w:after="160"/>
        <w:ind w:left="714" w:hanging="357"/>
        <w:contextualSpacing w:val="0"/>
      </w:pPr>
      <w:r w:rsidRPr="00E41E1D">
        <w:t>T</w:t>
      </w:r>
      <w:r w:rsidR="001E6EA6" w:rsidRPr="00E41E1D">
        <w:t xml:space="preserve">he administration </w:t>
      </w:r>
      <w:r w:rsidR="00EC06B1" w:rsidRPr="00E41E1D">
        <w:t xml:space="preserve">of the assessment </w:t>
      </w:r>
      <w:r w:rsidR="001E6EA6" w:rsidRPr="00E41E1D">
        <w:t xml:space="preserve">and </w:t>
      </w:r>
      <w:r w:rsidR="00EC06B1" w:rsidRPr="00E41E1D">
        <w:t xml:space="preserve">its </w:t>
      </w:r>
      <w:r w:rsidR="00E35984" w:rsidRPr="00E41E1D">
        <w:t xml:space="preserve">rating system </w:t>
      </w:r>
      <w:r w:rsidRPr="00E41E1D">
        <w:t xml:space="preserve">aim to be </w:t>
      </w:r>
      <w:r w:rsidR="001E6EA6" w:rsidRPr="00E41E1D">
        <w:t>impartial and unbiased</w:t>
      </w:r>
    </w:p>
    <w:p w14:paraId="5FCAF657" w14:textId="61768466" w:rsidR="001E6EA6" w:rsidRPr="00E41E1D" w:rsidRDefault="00D409DE" w:rsidP="00B914CD">
      <w:pPr>
        <w:pStyle w:val="IntenseQuote"/>
      </w:pPr>
      <w:r w:rsidRPr="00E41E1D">
        <w:t xml:space="preserve">Give everyone a chance </w:t>
      </w:r>
      <w:r w:rsidR="00F92DC9" w:rsidRPr="00E41E1D">
        <w:t>to fully demonstrate their qualifications</w:t>
      </w:r>
      <w:r w:rsidR="005D23BB" w:rsidRPr="00E41E1D">
        <w:t>.</w:t>
      </w:r>
    </w:p>
    <w:p w14:paraId="407FA43D" w14:textId="60624CB1" w:rsidR="00554808" w:rsidRPr="00E41E1D" w:rsidRDefault="00A9444C" w:rsidP="00B914CD">
      <w:pPr>
        <w:pStyle w:val="Heading1"/>
      </w:pPr>
      <w:bookmarkStart w:id="21" w:name="_Toc99699175"/>
      <w:bookmarkStart w:id="22" w:name="_Toc107327228"/>
      <w:bookmarkEnd w:id="17"/>
      <w:bookmarkEnd w:id="18"/>
      <w:r w:rsidRPr="00E41E1D">
        <w:t>S</w:t>
      </w:r>
      <w:r w:rsidR="005B76FE" w:rsidRPr="00E41E1D">
        <w:t>teps</w:t>
      </w:r>
      <w:r w:rsidR="00554808" w:rsidRPr="00E41E1D">
        <w:t xml:space="preserve"> to </w:t>
      </w:r>
      <w:r w:rsidR="00BD1758" w:rsidRPr="00E41E1D">
        <w:t>c</w:t>
      </w:r>
      <w:r w:rsidR="00554808" w:rsidRPr="00E41E1D">
        <w:t xml:space="preserve">onduct an </w:t>
      </w:r>
      <w:r w:rsidR="00BD1758" w:rsidRPr="00E41E1D">
        <w:t>e</w:t>
      </w:r>
      <w:r w:rsidR="00554808" w:rsidRPr="00E41E1D">
        <w:t xml:space="preserve">valuation </w:t>
      </w:r>
      <w:r w:rsidR="00BD1758" w:rsidRPr="00E41E1D">
        <w:t>of</w:t>
      </w:r>
      <w:r w:rsidR="00554808" w:rsidRPr="00E41E1D">
        <w:t xml:space="preserve"> </w:t>
      </w:r>
      <w:r w:rsidR="00BD1758" w:rsidRPr="00E41E1D">
        <w:t>b</w:t>
      </w:r>
      <w:r w:rsidR="00554808" w:rsidRPr="00E41E1D">
        <w:t xml:space="preserve">iases and </w:t>
      </w:r>
      <w:r w:rsidR="00BD1758" w:rsidRPr="00E41E1D">
        <w:t>b</w:t>
      </w:r>
      <w:r w:rsidR="00554808" w:rsidRPr="00E41E1D">
        <w:t>arriers</w:t>
      </w:r>
      <w:bookmarkEnd w:id="21"/>
      <w:bookmarkEnd w:id="22"/>
    </w:p>
    <w:p w14:paraId="5A22209B" w14:textId="48BF6455" w:rsidR="00E86782" w:rsidRPr="00E41E1D" w:rsidRDefault="00554808" w:rsidP="00B914CD">
      <w:r w:rsidRPr="00E41E1D">
        <w:t xml:space="preserve">This section outlines </w:t>
      </w:r>
      <w:r w:rsidR="00F87C2E" w:rsidRPr="00E41E1D">
        <w:t>3</w:t>
      </w:r>
      <w:r w:rsidRPr="00E41E1D">
        <w:t xml:space="preserve"> steps which can be used to evaluate any assessment method</w:t>
      </w:r>
      <w:r w:rsidR="00F87C2E" w:rsidRPr="00E41E1D">
        <w:t xml:space="preserve"> and its application</w:t>
      </w:r>
      <w:r w:rsidRPr="00E41E1D">
        <w:t>.</w:t>
      </w:r>
    </w:p>
    <w:p w14:paraId="0EA044FF" w14:textId="4AC5423D" w:rsidR="00E86782" w:rsidRPr="00E41E1D" w:rsidRDefault="00E86782" w:rsidP="00A11CAF">
      <w:pPr>
        <w:pStyle w:val="ListParagraph"/>
        <w:numPr>
          <w:ilvl w:val="0"/>
          <w:numId w:val="16"/>
        </w:numPr>
        <w:spacing w:after="160"/>
        <w:ind w:left="714" w:hanging="357"/>
      </w:pPr>
      <w:r w:rsidRPr="00E41E1D">
        <w:rPr>
          <w:rStyle w:val="Strong"/>
        </w:rPr>
        <w:t>Step</w:t>
      </w:r>
      <w:r w:rsidR="006A20EB" w:rsidRPr="00E41E1D">
        <w:rPr>
          <w:rStyle w:val="Strong"/>
        </w:rPr>
        <w:t> </w:t>
      </w:r>
      <w:r w:rsidRPr="00E41E1D">
        <w:rPr>
          <w:rStyle w:val="Strong"/>
        </w:rPr>
        <w:t>1:</w:t>
      </w:r>
      <w:r w:rsidRPr="00E41E1D">
        <w:t xml:space="preserve"> Describe the assessment method</w:t>
      </w:r>
    </w:p>
    <w:p w14:paraId="3583A7EE" w14:textId="2BBBA6BF" w:rsidR="00E86782" w:rsidRPr="00E41E1D" w:rsidRDefault="00E86782" w:rsidP="00A11CAF">
      <w:pPr>
        <w:pStyle w:val="ListParagraph"/>
        <w:numPr>
          <w:ilvl w:val="0"/>
          <w:numId w:val="16"/>
        </w:numPr>
        <w:spacing w:after="160"/>
        <w:ind w:left="714" w:hanging="357"/>
        <w:rPr>
          <w:b/>
          <w:bCs/>
        </w:rPr>
      </w:pPr>
      <w:r w:rsidRPr="00E41E1D">
        <w:rPr>
          <w:rStyle w:val="Strong"/>
        </w:rPr>
        <w:t>Step</w:t>
      </w:r>
      <w:r w:rsidR="006A20EB" w:rsidRPr="00E41E1D">
        <w:rPr>
          <w:rStyle w:val="Strong"/>
        </w:rPr>
        <w:t> </w:t>
      </w:r>
      <w:r w:rsidRPr="00E41E1D">
        <w:rPr>
          <w:rStyle w:val="Strong"/>
        </w:rPr>
        <w:t>2</w:t>
      </w:r>
      <w:r w:rsidRPr="00E41E1D">
        <w:rPr>
          <w:b/>
          <w:bCs/>
        </w:rPr>
        <w:t xml:space="preserve">: </w:t>
      </w:r>
      <w:r w:rsidR="00534639" w:rsidRPr="00E41E1D">
        <w:t xml:space="preserve">Identify </w:t>
      </w:r>
      <w:r w:rsidR="00BC6368" w:rsidRPr="00E41E1D">
        <w:t xml:space="preserve">potential </w:t>
      </w:r>
      <w:r w:rsidR="001208CB" w:rsidRPr="00E41E1D">
        <w:t>b</w:t>
      </w:r>
      <w:r w:rsidR="00534639" w:rsidRPr="00E41E1D">
        <w:t xml:space="preserve">iases </w:t>
      </w:r>
      <w:r w:rsidR="007E1ADA" w:rsidRPr="00E41E1D">
        <w:t>and</w:t>
      </w:r>
      <w:r w:rsidR="00534639" w:rsidRPr="00E41E1D">
        <w:t xml:space="preserve"> </w:t>
      </w:r>
      <w:r w:rsidR="001208CB" w:rsidRPr="00E41E1D">
        <w:t>b</w:t>
      </w:r>
      <w:r w:rsidR="00534639" w:rsidRPr="00E41E1D">
        <w:t>arriers</w:t>
      </w:r>
    </w:p>
    <w:p w14:paraId="4666FB9E" w14:textId="2ECED8EC" w:rsidR="007E1ADA" w:rsidRPr="00E41E1D" w:rsidRDefault="007E1ADA" w:rsidP="00A11CAF">
      <w:pPr>
        <w:pStyle w:val="ListParagraph"/>
        <w:numPr>
          <w:ilvl w:val="0"/>
          <w:numId w:val="16"/>
        </w:numPr>
        <w:spacing w:after="160"/>
        <w:ind w:left="714" w:hanging="357"/>
        <w:rPr>
          <w:b/>
          <w:bCs/>
        </w:rPr>
      </w:pPr>
      <w:r w:rsidRPr="00E41E1D">
        <w:rPr>
          <w:rStyle w:val="Strong"/>
        </w:rPr>
        <w:t>Step</w:t>
      </w:r>
      <w:r w:rsidR="00E60388" w:rsidRPr="00E41E1D">
        <w:rPr>
          <w:rStyle w:val="Strong"/>
        </w:rPr>
        <w:t> </w:t>
      </w:r>
      <w:r w:rsidRPr="00E41E1D">
        <w:rPr>
          <w:rStyle w:val="Strong"/>
        </w:rPr>
        <w:t>3:</w:t>
      </w:r>
      <w:r w:rsidRPr="00E41E1D">
        <w:rPr>
          <w:b/>
          <w:bCs/>
        </w:rPr>
        <w:t xml:space="preserve"> </w:t>
      </w:r>
      <w:r w:rsidRPr="00E41E1D">
        <w:t>Take action to mitigate biases and barriers</w:t>
      </w:r>
    </w:p>
    <w:p w14:paraId="67527838" w14:textId="63178E66" w:rsidR="00554808" w:rsidRPr="00E41E1D" w:rsidRDefault="00554808" w:rsidP="00B914CD">
      <w:r w:rsidRPr="00E41E1D">
        <w:t xml:space="preserve">The evaluation of biases and barriers </w:t>
      </w:r>
      <w:r w:rsidR="00F87C2E" w:rsidRPr="00E41E1D">
        <w:t>must be</w:t>
      </w:r>
      <w:r w:rsidRPr="00E41E1D">
        <w:t xml:space="preserve"> conducted </w:t>
      </w:r>
      <w:r w:rsidRPr="00E41E1D">
        <w:rPr>
          <w:rStyle w:val="Strong"/>
        </w:rPr>
        <w:t>before</w:t>
      </w:r>
      <w:r w:rsidRPr="00E41E1D">
        <w:t xml:space="preserve"> using an assessment method. You can use this guide</w:t>
      </w:r>
      <w:r w:rsidR="008A52E8" w:rsidRPr="00E41E1D">
        <w:t xml:space="preserve"> and </w:t>
      </w:r>
      <w:r w:rsidR="00D04CAD" w:rsidRPr="00E41E1D">
        <w:rPr>
          <w:rStyle w:val="IntenseReference"/>
        </w:rPr>
        <w:fldChar w:fldCharType="begin"/>
      </w:r>
      <w:r w:rsidR="00D04CAD" w:rsidRPr="00E41E1D">
        <w:rPr>
          <w:rStyle w:val="IntenseReference"/>
        </w:rPr>
        <w:instrText xml:space="preserve"> REF _Ref106281809 \h  \* MERGEFORMAT </w:instrText>
      </w:r>
      <w:r w:rsidR="00D04CAD" w:rsidRPr="00E41E1D">
        <w:rPr>
          <w:rStyle w:val="IntenseReference"/>
        </w:rPr>
      </w:r>
      <w:r w:rsidR="00D04CAD" w:rsidRPr="00E41E1D">
        <w:rPr>
          <w:rStyle w:val="IntenseReference"/>
        </w:rPr>
        <w:fldChar w:fldCharType="separate"/>
      </w:r>
      <w:r w:rsidR="00D04CAD" w:rsidRPr="00E41E1D">
        <w:rPr>
          <w:rStyle w:val="IntenseReference"/>
        </w:rPr>
        <w:t>Related tools</w:t>
      </w:r>
      <w:r w:rsidR="00D04CAD" w:rsidRPr="00E41E1D">
        <w:rPr>
          <w:rStyle w:val="IntenseReference"/>
        </w:rPr>
        <w:fldChar w:fldCharType="end"/>
      </w:r>
      <w:r w:rsidR="00C000E4" w:rsidRPr="00E41E1D">
        <w:t xml:space="preserve"> t</w:t>
      </w:r>
      <w:r w:rsidRPr="00E41E1D">
        <w:t>o conduct and document your evaluation of biases and barriers.</w:t>
      </w:r>
    </w:p>
    <w:p w14:paraId="4250616B" w14:textId="59EF9E94" w:rsidR="00147CB2" w:rsidRPr="00E41E1D" w:rsidRDefault="00147CB2" w:rsidP="00B914CD">
      <w:r w:rsidRPr="00E41E1D">
        <w:t xml:space="preserve">Note, the guide and </w:t>
      </w:r>
      <w:r w:rsidR="00D04CAD" w:rsidRPr="00E41E1D">
        <w:rPr>
          <w:rStyle w:val="IntenseReference"/>
        </w:rPr>
        <w:fldChar w:fldCharType="begin"/>
      </w:r>
      <w:r w:rsidR="00D04CAD" w:rsidRPr="00E41E1D">
        <w:rPr>
          <w:rStyle w:val="IntenseReference"/>
        </w:rPr>
        <w:instrText xml:space="preserve"> REF _Ref106281809 \h  \* MERGEFORMAT </w:instrText>
      </w:r>
      <w:r w:rsidR="00D04CAD" w:rsidRPr="00E41E1D">
        <w:rPr>
          <w:rStyle w:val="IntenseReference"/>
        </w:rPr>
      </w:r>
      <w:r w:rsidR="00D04CAD" w:rsidRPr="00E41E1D">
        <w:rPr>
          <w:rStyle w:val="IntenseReference"/>
        </w:rPr>
        <w:fldChar w:fldCharType="separate"/>
      </w:r>
      <w:r w:rsidR="00D04CAD" w:rsidRPr="00E41E1D">
        <w:rPr>
          <w:rStyle w:val="IntenseReference"/>
        </w:rPr>
        <w:t>Related tools</w:t>
      </w:r>
      <w:r w:rsidR="00D04CAD" w:rsidRPr="00E41E1D">
        <w:rPr>
          <w:rStyle w:val="IntenseReference"/>
        </w:rPr>
        <w:fldChar w:fldCharType="end"/>
      </w:r>
      <w:r w:rsidR="00C000E4" w:rsidRPr="00E41E1D">
        <w:t xml:space="preserve"> p</w:t>
      </w:r>
      <w:r w:rsidRPr="00E41E1D">
        <w:t>resent some, but not all, biases and barriers that may occur in assessments.</w:t>
      </w:r>
      <w:r w:rsidR="00B25D7E" w:rsidRPr="00E41E1D">
        <w:t xml:space="preserve"> </w:t>
      </w:r>
      <w:r w:rsidR="00EA19B4" w:rsidRPr="00E41E1D">
        <w:t>Other biases and barriers may exist, and some strategies may not be suitable for all situations. Users need to use professional judgment for their individual methods or processes.</w:t>
      </w:r>
    </w:p>
    <w:p w14:paraId="61DAE491" w14:textId="7B056B0B" w:rsidR="00554808" w:rsidRPr="00E41E1D" w:rsidRDefault="00554808" w:rsidP="00B914CD">
      <w:pPr>
        <w:pStyle w:val="Heading2"/>
      </w:pPr>
      <w:bookmarkStart w:id="23" w:name="_Toc99699176"/>
      <w:bookmarkStart w:id="24" w:name="_Toc107327229"/>
      <w:r w:rsidRPr="00E41E1D">
        <w:t>Step</w:t>
      </w:r>
      <w:r w:rsidR="006A20EB" w:rsidRPr="00E41E1D">
        <w:t> </w:t>
      </w:r>
      <w:r w:rsidRPr="00E41E1D">
        <w:t>1: Describe the assessment method</w:t>
      </w:r>
      <w:bookmarkEnd w:id="23"/>
      <w:bookmarkEnd w:id="24"/>
    </w:p>
    <w:p w14:paraId="257F81EB" w14:textId="34AF3B1E" w:rsidR="00554808" w:rsidRPr="00E41E1D" w:rsidRDefault="00BD1758" w:rsidP="00B914CD">
      <w:r w:rsidRPr="00E41E1D">
        <w:t>D</w:t>
      </w:r>
      <w:r w:rsidR="00554808" w:rsidRPr="00E41E1D">
        <w:t xml:space="preserve">escribe the assessment method that you will use. </w:t>
      </w:r>
      <w:r w:rsidR="008A52E8" w:rsidRPr="00E41E1D">
        <w:t>You can consult the</w:t>
      </w:r>
      <w:r w:rsidR="005068EC" w:rsidRPr="00E41E1D">
        <w:t xml:space="preserve"> </w:t>
      </w:r>
      <w:hyperlink r:id="rId22" w:history="1">
        <w:r w:rsidR="005068EC" w:rsidRPr="00E41E1D">
          <w:rPr>
            <w:rStyle w:val="Hyperlink"/>
          </w:rPr>
          <w:t>inclusive appointment lens</w:t>
        </w:r>
      </w:hyperlink>
      <w:r w:rsidR="008A52E8" w:rsidRPr="00E41E1D">
        <w:t xml:space="preserve"> when describing your assessment. </w:t>
      </w:r>
      <w:r w:rsidR="00554808" w:rsidRPr="00E41E1D">
        <w:t xml:space="preserve">For each assessment method, </w:t>
      </w:r>
      <w:r w:rsidR="003E0D99" w:rsidRPr="00E41E1D">
        <w:t>consider</w:t>
      </w:r>
      <w:r w:rsidR="008A52E8" w:rsidRPr="00E41E1D">
        <w:t xml:space="preserve"> the</w:t>
      </w:r>
      <w:r w:rsidR="00554808" w:rsidRPr="00E41E1D">
        <w:t>:</w:t>
      </w:r>
    </w:p>
    <w:p w14:paraId="70EF2D9B" w14:textId="68EC664F" w:rsidR="003E0D99" w:rsidRPr="00E41E1D" w:rsidRDefault="008A52E8" w:rsidP="00A11CAF">
      <w:pPr>
        <w:pStyle w:val="ListParagraph"/>
        <w:numPr>
          <w:ilvl w:val="0"/>
          <w:numId w:val="17"/>
        </w:numPr>
        <w:spacing w:after="160"/>
        <w:ind w:left="714" w:hanging="357"/>
      </w:pPr>
      <w:r w:rsidRPr="00E41E1D">
        <w:t xml:space="preserve">Six </w:t>
      </w:r>
      <w:r w:rsidR="003E0D99" w:rsidRPr="00E41E1D">
        <w:rPr>
          <w:rStyle w:val="IntenseReference"/>
        </w:rPr>
        <w:fldChar w:fldCharType="begin"/>
      </w:r>
      <w:r w:rsidR="003E0D99" w:rsidRPr="00E41E1D">
        <w:rPr>
          <w:rStyle w:val="IntenseReference"/>
        </w:rPr>
        <w:instrText xml:space="preserve"> REF _Ref96949122 \h  \* MERGEFORMAT </w:instrText>
      </w:r>
      <w:r w:rsidR="003E0D99" w:rsidRPr="00E41E1D">
        <w:rPr>
          <w:rStyle w:val="IntenseReference"/>
        </w:rPr>
      </w:r>
      <w:r w:rsidR="003E0D99" w:rsidRPr="00E41E1D">
        <w:rPr>
          <w:rStyle w:val="IntenseReference"/>
        </w:rPr>
        <w:fldChar w:fldCharType="separate"/>
      </w:r>
      <w:r w:rsidR="003E0D99" w:rsidRPr="00E41E1D">
        <w:rPr>
          <w:rStyle w:val="IntenseReference"/>
        </w:rPr>
        <w:t>Guiding principles</w:t>
      </w:r>
      <w:r w:rsidR="003E0D99" w:rsidRPr="00E41E1D">
        <w:rPr>
          <w:rStyle w:val="IntenseReference"/>
        </w:rPr>
        <w:fldChar w:fldCharType="end"/>
      </w:r>
      <w:r w:rsidR="00AF1B23" w:rsidRPr="00E41E1D">
        <w:t xml:space="preserve"> a</w:t>
      </w:r>
      <w:r w:rsidR="003E0D99" w:rsidRPr="00E41E1D">
        <w:t xml:space="preserve">nd how </w:t>
      </w:r>
      <w:r w:rsidR="00324DDE" w:rsidRPr="00E41E1D">
        <w:t>they can be applied</w:t>
      </w:r>
    </w:p>
    <w:p w14:paraId="16264ABC" w14:textId="6BCA19B5" w:rsidR="003E0D99" w:rsidRPr="00E41E1D" w:rsidRDefault="008A52E8" w:rsidP="00A11CAF">
      <w:pPr>
        <w:pStyle w:val="ListParagraph"/>
        <w:numPr>
          <w:ilvl w:val="0"/>
          <w:numId w:val="17"/>
        </w:numPr>
        <w:spacing w:after="160"/>
        <w:ind w:left="714" w:hanging="357"/>
      </w:pPr>
      <w:r w:rsidRPr="00E41E1D">
        <w:t>Q</w:t>
      </w:r>
      <w:r w:rsidR="00554808" w:rsidRPr="00E41E1D">
        <w:t>ualifications being assessed</w:t>
      </w:r>
      <w:r w:rsidR="003E0D99" w:rsidRPr="00E41E1D">
        <w:t xml:space="preserve"> and</w:t>
      </w:r>
      <w:r w:rsidR="00554808" w:rsidRPr="00E41E1D">
        <w:t xml:space="preserve"> how they will be evaluated</w:t>
      </w:r>
    </w:p>
    <w:p w14:paraId="7785A629" w14:textId="68A44237" w:rsidR="003E0D99" w:rsidRPr="00E41E1D" w:rsidRDefault="008A52E8" w:rsidP="00A11CAF">
      <w:pPr>
        <w:pStyle w:val="ListParagraph"/>
        <w:numPr>
          <w:ilvl w:val="0"/>
          <w:numId w:val="17"/>
        </w:numPr>
        <w:spacing w:after="160"/>
        <w:ind w:left="714" w:hanging="357"/>
      </w:pPr>
      <w:r w:rsidRPr="00E41E1D">
        <w:t>A</w:t>
      </w:r>
      <w:r w:rsidR="00554808" w:rsidRPr="00E41E1D">
        <w:t>dministration process</w:t>
      </w:r>
    </w:p>
    <w:p w14:paraId="20786662" w14:textId="008D3843" w:rsidR="003E0D99" w:rsidRPr="00E41E1D" w:rsidRDefault="008A52E8" w:rsidP="00A11CAF">
      <w:pPr>
        <w:pStyle w:val="ListParagraph"/>
        <w:numPr>
          <w:ilvl w:val="0"/>
          <w:numId w:val="17"/>
        </w:numPr>
        <w:spacing w:after="160"/>
        <w:ind w:left="714" w:hanging="357"/>
      </w:pPr>
      <w:r w:rsidRPr="00E41E1D">
        <w:t>R</w:t>
      </w:r>
      <w:r w:rsidR="00554808" w:rsidRPr="00E41E1D">
        <w:t>ating system and</w:t>
      </w:r>
      <w:r w:rsidR="003E0D99" w:rsidRPr="00E41E1D">
        <w:t xml:space="preserve"> how decisions are made</w:t>
      </w:r>
    </w:p>
    <w:p w14:paraId="3A0CEDCF" w14:textId="357E8BA2" w:rsidR="00324DDE" w:rsidRPr="00E41E1D" w:rsidRDefault="008A52E8" w:rsidP="00A11CAF">
      <w:pPr>
        <w:pStyle w:val="ListParagraph"/>
        <w:numPr>
          <w:ilvl w:val="0"/>
          <w:numId w:val="17"/>
        </w:numPr>
        <w:spacing w:after="160"/>
        <w:ind w:left="714" w:hanging="357"/>
      </w:pPr>
      <w:r w:rsidRPr="00E41E1D">
        <w:t>P</w:t>
      </w:r>
      <w:r w:rsidR="003E0D99" w:rsidRPr="00E41E1D">
        <w:t xml:space="preserve">eople </w:t>
      </w:r>
      <w:r w:rsidR="00554808" w:rsidRPr="00E41E1D">
        <w:t xml:space="preserve">involved </w:t>
      </w:r>
      <w:r w:rsidR="00B41EEB" w:rsidRPr="00E41E1D">
        <w:t xml:space="preserve">in </w:t>
      </w:r>
      <w:r w:rsidR="00554808" w:rsidRPr="00E41E1D">
        <w:t xml:space="preserve">the </w:t>
      </w:r>
      <w:r w:rsidR="00E107AC" w:rsidRPr="00E41E1D">
        <w:t xml:space="preserve">different stages of the </w:t>
      </w:r>
      <w:r w:rsidR="00554808" w:rsidRPr="00E41E1D">
        <w:t>assessment</w:t>
      </w:r>
      <w:r w:rsidR="00E107AC" w:rsidRPr="00E41E1D">
        <w:t>, that is</w:t>
      </w:r>
      <w:r w:rsidR="00AF36E9" w:rsidRPr="00E41E1D">
        <w:t>,</w:t>
      </w:r>
      <w:r w:rsidR="00E107AC" w:rsidRPr="00E41E1D">
        <w:t xml:space="preserve"> the</w:t>
      </w:r>
      <w:r w:rsidR="00AF1B23" w:rsidRPr="00E41E1D">
        <w:t xml:space="preserve"> </w:t>
      </w:r>
      <w:r w:rsidR="000D2EA1" w:rsidRPr="00E41E1D">
        <w:t xml:space="preserve">planning, </w:t>
      </w:r>
      <w:r w:rsidR="003D13D8" w:rsidRPr="00E41E1D">
        <w:t>administration</w:t>
      </w:r>
      <w:r w:rsidR="000D2EA1" w:rsidRPr="00E41E1D">
        <w:t xml:space="preserve"> </w:t>
      </w:r>
      <w:r w:rsidR="008B0017" w:rsidRPr="00E41E1D">
        <w:t xml:space="preserve">and </w:t>
      </w:r>
      <w:r w:rsidR="000D2EA1" w:rsidRPr="00E41E1D">
        <w:t>scoring</w:t>
      </w:r>
    </w:p>
    <w:p w14:paraId="41845B8A" w14:textId="10320A78" w:rsidR="00554808" w:rsidRPr="00E41E1D" w:rsidRDefault="00554808" w:rsidP="00B914CD">
      <w:pPr>
        <w:pStyle w:val="Heading2"/>
      </w:pPr>
      <w:bookmarkStart w:id="25" w:name="_Toc99699177"/>
      <w:bookmarkStart w:id="26" w:name="_Toc107327230"/>
      <w:bookmarkStart w:id="27" w:name="_Hlk104989078"/>
      <w:r w:rsidRPr="00E41E1D">
        <w:t>Step</w:t>
      </w:r>
      <w:r w:rsidR="006A20EB" w:rsidRPr="00E41E1D">
        <w:t> </w:t>
      </w:r>
      <w:r w:rsidRPr="00E41E1D">
        <w:t>2: Identify</w:t>
      </w:r>
      <w:r w:rsidR="000B7C90" w:rsidRPr="00E41E1D">
        <w:t xml:space="preserve"> potential</w:t>
      </w:r>
      <w:r w:rsidRPr="00E41E1D">
        <w:t xml:space="preserve"> </w:t>
      </w:r>
      <w:r w:rsidR="001208CB" w:rsidRPr="00E41E1D">
        <w:t>b</w:t>
      </w:r>
      <w:r w:rsidR="00173E8A" w:rsidRPr="00E41E1D">
        <w:t xml:space="preserve">iases </w:t>
      </w:r>
      <w:r w:rsidR="00322712" w:rsidRPr="00E41E1D">
        <w:t xml:space="preserve">and </w:t>
      </w:r>
      <w:bookmarkEnd w:id="25"/>
      <w:r w:rsidR="001208CB" w:rsidRPr="00E41E1D">
        <w:t>b</w:t>
      </w:r>
      <w:r w:rsidR="00173E8A" w:rsidRPr="00E41E1D">
        <w:t>arriers</w:t>
      </w:r>
      <w:bookmarkEnd w:id="26"/>
    </w:p>
    <w:p w14:paraId="6E5AE2E9" w14:textId="77777777" w:rsidR="003C1C75" w:rsidRPr="00E41E1D" w:rsidRDefault="006C566D" w:rsidP="00B914CD">
      <w:r w:rsidRPr="00E41E1D">
        <w:t>I</w:t>
      </w:r>
      <w:r w:rsidR="00554808" w:rsidRPr="00E41E1D">
        <w:t xml:space="preserve">dentify sources of </w:t>
      </w:r>
      <w:r w:rsidR="001C3533" w:rsidRPr="00E41E1D">
        <w:t xml:space="preserve">potential </w:t>
      </w:r>
      <w:r w:rsidR="00554808" w:rsidRPr="00E41E1D">
        <w:t>biases and barriers</w:t>
      </w:r>
      <w:r w:rsidR="00862B7F" w:rsidRPr="00E41E1D">
        <w:t xml:space="preserve"> in your</w:t>
      </w:r>
      <w:r w:rsidR="00554808" w:rsidRPr="00E41E1D">
        <w:t xml:space="preserve"> assessment and all </w:t>
      </w:r>
      <w:r w:rsidR="00862B7F" w:rsidRPr="00E41E1D">
        <w:t xml:space="preserve">related </w:t>
      </w:r>
      <w:r w:rsidR="00554808" w:rsidRPr="00E41E1D">
        <w:t>material.</w:t>
      </w:r>
      <w:r w:rsidR="003C1C75" w:rsidRPr="00E41E1D">
        <w:t xml:space="preserve"> </w:t>
      </w:r>
    </w:p>
    <w:p w14:paraId="723F23F6" w14:textId="2DBE088D" w:rsidR="006C566D" w:rsidRPr="00E41E1D" w:rsidRDefault="00676034" w:rsidP="00B914CD">
      <w:r w:rsidRPr="00E41E1D">
        <w:t xml:space="preserve">Where </w:t>
      </w:r>
      <w:r w:rsidR="00CD70EA" w:rsidRPr="00E41E1D">
        <w:t>to</w:t>
      </w:r>
      <w:r w:rsidRPr="00E41E1D">
        <w:t xml:space="preserve"> find biases and barriers in an assessment?</w:t>
      </w:r>
    </w:p>
    <w:p w14:paraId="63A9EC46" w14:textId="04E67866" w:rsidR="006C566D" w:rsidRPr="00E41E1D" w:rsidRDefault="001C3533" w:rsidP="00A11CAF">
      <w:pPr>
        <w:pStyle w:val="ListParagraph"/>
        <w:numPr>
          <w:ilvl w:val="0"/>
          <w:numId w:val="18"/>
        </w:numPr>
        <w:spacing w:after="160"/>
        <w:ind w:left="714" w:hanging="357"/>
      </w:pPr>
      <w:r w:rsidRPr="00E41E1D">
        <w:lastRenderedPageBreak/>
        <w:t>I</w:t>
      </w:r>
      <w:r w:rsidR="00554808" w:rsidRPr="00E41E1D">
        <w:t>nformation provided to candidates prior to the assessment</w:t>
      </w:r>
    </w:p>
    <w:p w14:paraId="1CE01D1D" w14:textId="69DD7F03" w:rsidR="006C566D" w:rsidRPr="00E41E1D" w:rsidRDefault="001C3533" w:rsidP="00A11CAF">
      <w:pPr>
        <w:pStyle w:val="ListParagraph"/>
        <w:numPr>
          <w:ilvl w:val="0"/>
          <w:numId w:val="18"/>
        </w:numPr>
        <w:spacing w:after="160"/>
        <w:ind w:left="714" w:hanging="357"/>
      </w:pPr>
      <w:r w:rsidRPr="00E41E1D">
        <w:t xml:space="preserve">Instructions </w:t>
      </w:r>
      <w:r w:rsidR="00554808" w:rsidRPr="00E41E1D">
        <w:t>and questions</w:t>
      </w:r>
    </w:p>
    <w:p w14:paraId="18007CA9" w14:textId="4FA5475F" w:rsidR="006C566D" w:rsidRPr="00E41E1D" w:rsidRDefault="001C3533" w:rsidP="00A11CAF">
      <w:pPr>
        <w:pStyle w:val="ListParagraph"/>
        <w:numPr>
          <w:ilvl w:val="0"/>
          <w:numId w:val="18"/>
        </w:numPr>
        <w:spacing w:after="160"/>
        <w:ind w:left="714" w:hanging="357"/>
      </w:pPr>
      <w:r w:rsidRPr="00E41E1D">
        <w:t xml:space="preserve">Rating </w:t>
      </w:r>
      <w:r w:rsidR="00554808" w:rsidRPr="00E41E1D">
        <w:t>guide</w:t>
      </w:r>
    </w:p>
    <w:p w14:paraId="27F553A7" w14:textId="0389E729" w:rsidR="006C566D" w:rsidRPr="00E41E1D" w:rsidRDefault="001C3533" w:rsidP="00A11CAF">
      <w:pPr>
        <w:pStyle w:val="ListParagraph"/>
        <w:numPr>
          <w:ilvl w:val="0"/>
          <w:numId w:val="18"/>
        </w:numPr>
        <w:spacing w:after="160"/>
        <w:ind w:left="714" w:hanging="357"/>
      </w:pPr>
      <w:r w:rsidRPr="00E41E1D">
        <w:t>Assessment</w:t>
      </w:r>
      <w:r w:rsidR="00554808" w:rsidRPr="00E41E1D">
        <w:t xml:space="preserve"> board training</w:t>
      </w:r>
    </w:p>
    <w:p w14:paraId="4BC1A490" w14:textId="2C50AB22" w:rsidR="006C566D" w:rsidRPr="00E41E1D" w:rsidRDefault="001C3533" w:rsidP="00A11CAF">
      <w:pPr>
        <w:pStyle w:val="ListParagraph"/>
        <w:numPr>
          <w:ilvl w:val="0"/>
          <w:numId w:val="18"/>
        </w:numPr>
        <w:spacing w:after="160"/>
        <w:ind w:left="714" w:hanging="357"/>
      </w:pPr>
      <w:r w:rsidRPr="00E41E1D">
        <w:t xml:space="preserve">Administration </w:t>
      </w:r>
      <w:r w:rsidR="00554808" w:rsidRPr="00E41E1D">
        <w:t>manual</w:t>
      </w:r>
    </w:p>
    <w:p w14:paraId="1DDE2053" w14:textId="508D5548" w:rsidR="006C566D" w:rsidRPr="00E41E1D" w:rsidRDefault="001C3533" w:rsidP="00A11CAF">
      <w:pPr>
        <w:pStyle w:val="ListParagraph"/>
        <w:numPr>
          <w:ilvl w:val="0"/>
          <w:numId w:val="18"/>
        </w:numPr>
        <w:spacing w:after="160"/>
        <w:ind w:left="714" w:hanging="357"/>
      </w:pPr>
      <w:r w:rsidRPr="00E41E1D">
        <w:t xml:space="preserve">Any </w:t>
      </w:r>
      <w:r w:rsidR="00554808" w:rsidRPr="00E41E1D">
        <w:t>other related materials</w:t>
      </w:r>
    </w:p>
    <w:p w14:paraId="6105ECA8" w14:textId="3EED4BE4" w:rsidR="008C5A2A" w:rsidRPr="00E41E1D" w:rsidRDefault="001C3533" w:rsidP="00B914CD">
      <w:r w:rsidRPr="00E41E1D">
        <w:t xml:space="preserve">Look for biases and barriers </w:t>
      </w:r>
      <w:r w:rsidR="003B0238" w:rsidRPr="00E41E1D">
        <w:t xml:space="preserve">that may occur </w:t>
      </w:r>
      <w:r w:rsidR="00413138" w:rsidRPr="00E41E1D">
        <w:t>during</w:t>
      </w:r>
      <w:r w:rsidR="008C5A2A" w:rsidRPr="00E41E1D">
        <w:t>:</w:t>
      </w:r>
    </w:p>
    <w:p w14:paraId="76D54B80" w14:textId="0470785C" w:rsidR="008C5A2A" w:rsidRPr="00E41E1D" w:rsidRDefault="008C5A2A" w:rsidP="00A11CAF">
      <w:pPr>
        <w:pStyle w:val="ListParagraph"/>
        <w:numPr>
          <w:ilvl w:val="0"/>
          <w:numId w:val="19"/>
        </w:numPr>
        <w:spacing w:after="160"/>
        <w:ind w:left="714" w:hanging="357"/>
        <w:contextualSpacing w:val="0"/>
      </w:pPr>
      <w:r w:rsidRPr="00E41E1D">
        <w:t>Planning (for example, qualifications are too narrow or the language is too technical)</w:t>
      </w:r>
    </w:p>
    <w:p w14:paraId="6FBE5366" w14:textId="30852D31" w:rsidR="008C5A2A" w:rsidRPr="00E41E1D" w:rsidRDefault="008C5A2A" w:rsidP="00A11CAF">
      <w:pPr>
        <w:pStyle w:val="ListParagraph"/>
        <w:numPr>
          <w:ilvl w:val="0"/>
          <w:numId w:val="19"/>
        </w:numPr>
        <w:spacing w:after="160"/>
        <w:ind w:left="714" w:hanging="357"/>
        <w:contextualSpacing w:val="0"/>
      </w:pPr>
      <w:r w:rsidRPr="00E41E1D">
        <w:t>Administrati</w:t>
      </w:r>
      <w:r w:rsidR="00413138" w:rsidRPr="00E41E1D">
        <w:t>o</w:t>
      </w:r>
      <w:r w:rsidRPr="00E41E1D">
        <w:t>n (for example, limited preparation time or untimely assessment accommodations)</w:t>
      </w:r>
    </w:p>
    <w:p w14:paraId="3E14BB22" w14:textId="74760797" w:rsidR="008C5A2A" w:rsidRPr="00E41E1D" w:rsidRDefault="008C5A2A" w:rsidP="00A11CAF">
      <w:pPr>
        <w:pStyle w:val="ListParagraph"/>
        <w:numPr>
          <w:ilvl w:val="0"/>
          <w:numId w:val="19"/>
        </w:numPr>
        <w:spacing w:after="160"/>
        <w:ind w:left="714" w:hanging="357"/>
        <w:contextualSpacing w:val="0"/>
      </w:pPr>
      <w:r w:rsidRPr="00E41E1D">
        <w:t>Scoring (for example, unstructured rating process or homogenous assessment board)</w:t>
      </w:r>
    </w:p>
    <w:p w14:paraId="387ACE1B" w14:textId="49777065" w:rsidR="003B0238" w:rsidRPr="00E41E1D" w:rsidRDefault="003B0238" w:rsidP="00B914CD">
      <w:r w:rsidRPr="00E41E1D">
        <w:t>See a list of common biases and barriers in the Tool on Biases and Barriers in Assessments. Additional lists can be found in the tools specific to screening, written exam</w:t>
      </w:r>
      <w:r w:rsidR="003B23F7" w:rsidRPr="00E41E1D">
        <w:t>s</w:t>
      </w:r>
      <w:r w:rsidRPr="00E41E1D">
        <w:t>, interview</w:t>
      </w:r>
      <w:r w:rsidR="003B23F7" w:rsidRPr="00E41E1D">
        <w:t>s</w:t>
      </w:r>
      <w:r w:rsidRPr="00E41E1D">
        <w:t xml:space="preserve"> and reference check</w:t>
      </w:r>
      <w:r w:rsidR="003B23F7" w:rsidRPr="00E41E1D">
        <w:t>s</w:t>
      </w:r>
      <w:r w:rsidRPr="00E41E1D">
        <w:t>.</w:t>
      </w:r>
    </w:p>
    <w:p w14:paraId="128406A1" w14:textId="078846E2" w:rsidR="00322712" w:rsidRPr="00E41E1D" w:rsidRDefault="00322712" w:rsidP="00B914CD">
      <w:pPr>
        <w:pStyle w:val="Heading2"/>
      </w:pPr>
      <w:bookmarkStart w:id="28" w:name="_Toc107327231"/>
      <w:r w:rsidRPr="00E41E1D">
        <w:t>Step 3: Take action to mitigate biases and barriers</w:t>
      </w:r>
      <w:bookmarkEnd w:id="28"/>
    </w:p>
    <w:p w14:paraId="4705AEEC" w14:textId="748BD63F" w:rsidR="003469BB" w:rsidRPr="00E41E1D" w:rsidRDefault="00F57504" w:rsidP="00B914CD">
      <w:r w:rsidRPr="00E41E1D">
        <w:t>Once you</w:t>
      </w:r>
      <w:r w:rsidR="00F92DC9" w:rsidRPr="00E41E1D">
        <w:t xml:space="preserve"> ha</w:t>
      </w:r>
      <w:r w:rsidRPr="00E41E1D">
        <w:t xml:space="preserve">ve identified the </w:t>
      </w:r>
      <w:r w:rsidR="00B13362" w:rsidRPr="00E41E1D">
        <w:t xml:space="preserve">potential </w:t>
      </w:r>
      <w:r w:rsidRPr="00E41E1D">
        <w:t xml:space="preserve">biases and barriers, </w:t>
      </w:r>
      <w:r w:rsidR="00026DEA" w:rsidRPr="00E41E1D">
        <w:t>r</w:t>
      </w:r>
      <w:r w:rsidRPr="00E41E1D">
        <w:t>easonable efforts must be made to remove or mitigate their impact.</w:t>
      </w:r>
      <w:r w:rsidR="00026DEA" w:rsidRPr="00E41E1D">
        <w:t xml:space="preserve"> </w:t>
      </w:r>
      <w:r w:rsidR="00A02DBF" w:rsidRPr="00E41E1D">
        <w:t xml:space="preserve">You </w:t>
      </w:r>
      <w:r w:rsidR="003469BB" w:rsidRPr="00E41E1D">
        <w:t>need to use professional judgment when applying these strategies to individual methods or processes.</w:t>
      </w:r>
    </w:p>
    <w:p w14:paraId="1411ACA3" w14:textId="17589E94" w:rsidR="003469BB" w:rsidRPr="00E41E1D" w:rsidRDefault="00F57504" w:rsidP="00B914CD">
      <w:r w:rsidRPr="00E41E1D">
        <w:t>Reflecting on the 6</w:t>
      </w:r>
      <w:r w:rsidR="00291325" w:rsidRPr="00E41E1D">
        <w:t xml:space="preserve"> </w:t>
      </w:r>
      <w:r w:rsidR="00291325" w:rsidRPr="00E41E1D">
        <w:rPr>
          <w:rStyle w:val="IntenseReference"/>
        </w:rPr>
        <w:fldChar w:fldCharType="begin"/>
      </w:r>
      <w:r w:rsidR="00291325" w:rsidRPr="00E41E1D">
        <w:rPr>
          <w:rStyle w:val="IntenseReference"/>
        </w:rPr>
        <w:instrText xml:space="preserve"> REF _Ref96949122 \h  \* MERGEFORMAT </w:instrText>
      </w:r>
      <w:r w:rsidR="00291325" w:rsidRPr="00E41E1D">
        <w:rPr>
          <w:rStyle w:val="IntenseReference"/>
        </w:rPr>
      </w:r>
      <w:r w:rsidR="00291325" w:rsidRPr="00E41E1D">
        <w:rPr>
          <w:rStyle w:val="IntenseReference"/>
        </w:rPr>
        <w:fldChar w:fldCharType="separate"/>
      </w:r>
      <w:r w:rsidR="00291325" w:rsidRPr="00E41E1D">
        <w:rPr>
          <w:rStyle w:val="IntenseReference"/>
        </w:rPr>
        <w:t>Guiding principles</w:t>
      </w:r>
      <w:r w:rsidR="00291325" w:rsidRPr="00E41E1D">
        <w:rPr>
          <w:rStyle w:val="IntenseReference"/>
        </w:rPr>
        <w:fldChar w:fldCharType="end"/>
      </w:r>
      <w:r w:rsidRPr="00E41E1D">
        <w:t xml:space="preserve"> may assist </w:t>
      </w:r>
      <w:r w:rsidR="003469BB" w:rsidRPr="00E41E1D">
        <w:t xml:space="preserve">you </w:t>
      </w:r>
      <w:r w:rsidRPr="00E41E1D">
        <w:t xml:space="preserve">in identifying </w:t>
      </w:r>
      <w:r w:rsidR="003469BB" w:rsidRPr="00E41E1D">
        <w:t>and miti</w:t>
      </w:r>
      <w:r w:rsidRPr="00E41E1D">
        <w:t>gatin</w:t>
      </w:r>
      <w:r w:rsidR="003469BB" w:rsidRPr="00E41E1D">
        <w:t>g biases and barriers.</w:t>
      </w:r>
      <w:r w:rsidRPr="00E41E1D">
        <w:t xml:space="preserve"> </w:t>
      </w:r>
      <w:r w:rsidR="00B13362" w:rsidRPr="00E41E1D">
        <w:t xml:space="preserve">You </w:t>
      </w:r>
      <w:r w:rsidR="005A6C87" w:rsidRPr="00E41E1D">
        <w:t>can</w:t>
      </w:r>
      <w:r w:rsidR="00B13362" w:rsidRPr="00E41E1D">
        <w:t xml:space="preserve"> also </w:t>
      </w:r>
      <w:r w:rsidR="005A6C87" w:rsidRPr="00E41E1D">
        <w:t>gain different perspectives by involving</w:t>
      </w:r>
      <w:r w:rsidR="003469BB" w:rsidRPr="00E41E1D">
        <w:t xml:space="preserve"> colleagues, assessment specialists or </w:t>
      </w:r>
      <w:r w:rsidR="00677794" w:rsidRPr="00E41E1D">
        <w:t>representatives</w:t>
      </w:r>
      <w:r w:rsidR="003469BB" w:rsidRPr="00E41E1D">
        <w:t xml:space="preserve"> of equity-seeking groups.</w:t>
      </w:r>
    </w:p>
    <w:p w14:paraId="1FE17483" w14:textId="77777777" w:rsidR="001C292E" w:rsidRPr="00E41E1D" w:rsidRDefault="001C292E" w:rsidP="00B914CD">
      <w:r w:rsidRPr="00E41E1D">
        <w:t>Consider different actions you can take during:</w:t>
      </w:r>
    </w:p>
    <w:p w14:paraId="273F7B64" w14:textId="276CAFA6" w:rsidR="001C292E" w:rsidRPr="00E41E1D" w:rsidRDefault="001C292E" w:rsidP="00A11CAF">
      <w:pPr>
        <w:pStyle w:val="ListParagraph"/>
        <w:numPr>
          <w:ilvl w:val="0"/>
          <w:numId w:val="20"/>
        </w:numPr>
        <w:spacing w:after="160"/>
        <w:ind w:left="714" w:hanging="357"/>
        <w:contextualSpacing w:val="0"/>
      </w:pPr>
      <w:r w:rsidRPr="00E41E1D">
        <w:t xml:space="preserve">Planning (for example, </w:t>
      </w:r>
      <w:r w:rsidR="00515B24" w:rsidRPr="00E41E1D">
        <w:t>build diversity and inclusion into the work pla</w:t>
      </w:r>
      <w:r w:rsidR="0038078D" w:rsidRPr="00E41E1D">
        <w:t>n</w:t>
      </w:r>
      <w:r w:rsidRPr="00E41E1D">
        <w:t xml:space="preserve"> </w:t>
      </w:r>
      <w:r w:rsidR="0038078D" w:rsidRPr="00E41E1D">
        <w:t>and</w:t>
      </w:r>
      <w:r w:rsidRPr="00E41E1D">
        <w:t xml:space="preserve"> review material for accessibility and fairness concerns)</w:t>
      </w:r>
    </w:p>
    <w:p w14:paraId="496D6ED7" w14:textId="0F859D63" w:rsidR="001C292E" w:rsidRPr="00E41E1D" w:rsidRDefault="001C292E" w:rsidP="00A11CAF">
      <w:pPr>
        <w:pStyle w:val="ListParagraph"/>
        <w:numPr>
          <w:ilvl w:val="0"/>
          <w:numId w:val="20"/>
        </w:numPr>
        <w:spacing w:after="160"/>
        <w:ind w:left="714" w:hanging="357"/>
        <w:contextualSpacing w:val="0"/>
      </w:pPr>
      <w:r w:rsidRPr="00E41E1D">
        <w:t>Administration (for example, create flexible schedules, give ample preparation time and the same instructions to everyone)</w:t>
      </w:r>
    </w:p>
    <w:p w14:paraId="3DC85F85" w14:textId="1A4CA61B" w:rsidR="001C292E" w:rsidRPr="00E41E1D" w:rsidRDefault="001C292E" w:rsidP="00A11CAF">
      <w:pPr>
        <w:pStyle w:val="ListParagraph"/>
        <w:numPr>
          <w:ilvl w:val="0"/>
          <w:numId w:val="20"/>
        </w:numPr>
        <w:spacing w:after="160"/>
        <w:ind w:left="714" w:hanging="357"/>
        <w:contextualSpacing w:val="0"/>
      </w:pPr>
      <w:r w:rsidRPr="00E41E1D">
        <w:t>Scoring (for example, rate performance immediately after the assessment and review borderline ratings with others)</w:t>
      </w:r>
    </w:p>
    <w:p w14:paraId="40BF5E6C" w14:textId="660E1414" w:rsidR="002C130C" w:rsidRPr="00E41E1D" w:rsidRDefault="0048275D" w:rsidP="00B914CD">
      <w:r w:rsidRPr="00E41E1D">
        <w:t>See a list of common strategies in the Tool on Biases and Barriers in Assessments. Additional lists can be found in the tools specific to screening, written exam</w:t>
      </w:r>
      <w:r w:rsidR="003B23F7" w:rsidRPr="00E41E1D">
        <w:t>s</w:t>
      </w:r>
      <w:r w:rsidRPr="00E41E1D">
        <w:t>, interview</w:t>
      </w:r>
      <w:r w:rsidR="003B23F7" w:rsidRPr="00E41E1D">
        <w:t>s</w:t>
      </w:r>
      <w:r w:rsidRPr="00E41E1D">
        <w:t xml:space="preserve"> and reference check</w:t>
      </w:r>
      <w:r w:rsidR="003B23F7" w:rsidRPr="00E41E1D">
        <w:t>s</w:t>
      </w:r>
      <w:r w:rsidRPr="00E41E1D">
        <w:t>.</w:t>
      </w:r>
      <w:bookmarkStart w:id="29" w:name="_Hlk107302834"/>
      <w:bookmarkEnd w:id="27"/>
    </w:p>
    <w:bookmarkEnd w:id="29"/>
    <w:p w14:paraId="159525E3" w14:textId="77D74C70" w:rsidR="005E7E0D" w:rsidRPr="00E41E1D" w:rsidRDefault="00E832B8" w:rsidP="00B914CD">
      <w:pPr>
        <w:rPr>
          <w:b/>
        </w:rPr>
      </w:pPr>
      <w:r w:rsidRPr="00E41E1D">
        <w:lastRenderedPageBreak/>
        <w:t xml:space="preserve">Once you have completed your evaluation and have made reasonable efforts to remove or mitigate biases and barriers, you are well equipped to conduct </w:t>
      </w:r>
      <w:r w:rsidR="0080401C" w:rsidRPr="00E41E1D">
        <w:t xml:space="preserve">the </w:t>
      </w:r>
      <w:r w:rsidRPr="00E41E1D">
        <w:t xml:space="preserve">assessments of </w:t>
      </w:r>
      <w:r w:rsidR="005E7E0D" w:rsidRPr="00E41E1D">
        <w:t xml:space="preserve">your </w:t>
      </w:r>
      <w:r w:rsidRPr="00E41E1D">
        <w:t>candidates. Consider putting in place strateg</w:t>
      </w:r>
      <w:r w:rsidR="00F85299" w:rsidRPr="00E41E1D">
        <w:t>ies</w:t>
      </w:r>
      <w:r w:rsidRPr="00E41E1D">
        <w:t xml:space="preserve"> to deal with any testing issues, test incidents or unforeseen biases and barriers. As the hiring manager, maintain communication with your human resources specialist responsible for the process to act promptly if new issues arise. You may also integrate a mechanism to gather feedback after the assessments (from candidates, board members, etc.) to learn and share about how to conduct fair assessments.</w:t>
      </w:r>
    </w:p>
    <w:p w14:paraId="788F3DFB" w14:textId="05A72156" w:rsidR="00A020E7" w:rsidRPr="00E41E1D" w:rsidRDefault="0048078B" w:rsidP="00B914CD">
      <w:pPr>
        <w:pStyle w:val="Heading2"/>
      </w:pPr>
      <w:bookmarkStart w:id="30" w:name="_Ref106281809"/>
      <w:bookmarkStart w:id="31" w:name="_Toc107327232"/>
      <w:r w:rsidRPr="00E41E1D">
        <w:t xml:space="preserve">Related </w:t>
      </w:r>
      <w:r w:rsidR="00B34F95" w:rsidRPr="00E41E1D">
        <w:t>t</w:t>
      </w:r>
      <w:r w:rsidR="00A020E7" w:rsidRPr="00E41E1D">
        <w:t>ools</w:t>
      </w:r>
      <w:bookmarkEnd w:id="30"/>
      <w:bookmarkEnd w:id="31"/>
    </w:p>
    <w:p w14:paraId="64F4D42B" w14:textId="5F9F86E8" w:rsidR="00A020E7" w:rsidRPr="00E41E1D" w:rsidRDefault="005732AF" w:rsidP="00B914CD">
      <w:r w:rsidRPr="00E41E1D">
        <w:t xml:space="preserve">We recommend using </w:t>
      </w:r>
      <w:r w:rsidR="00A020E7" w:rsidRPr="00E41E1D">
        <w:t xml:space="preserve">the </w:t>
      </w:r>
      <w:r w:rsidR="00C876AB" w:rsidRPr="00E41E1D">
        <w:t xml:space="preserve">PSC’s </w:t>
      </w:r>
      <w:r w:rsidR="00A020E7" w:rsidRPr="00E41E1D">
        <w:t>Tool on Biases and Barriers in Assessments</w:t>
      </w:r>
      <w:r w:rsidRPr="00E41E1D">
        <w:t xml:space="preserve"> for any assessment method used for personnel selection</w:t>
      </w:r>
      <w:r w:rsidR="00A020E7" w:rsidRPr="00E41E1D">
        <w:t xml:space="preserve">. It will take you through the </w:t>
      </w:r>
      <w:r w:rsidR="00DE2EC7" w:rsidRPr="00E41E1D">
        <w:t>3</w:t>
      </w:r>
      <w:r w:rsidR="00A020E7" w:rsidRPr="00E41E1D">
        <w:t xml:space="preserve"> steps </w:t>
      </w:r>
      <w:r w:rsidRPr="00E41E1D">
        <w:t>for</w:t>
      </w:r>
      <w:r w:rsidR="00A020E7" w:rsidRPr="00E41E1D">
        <w:t xml:space="preserve"> conduct</w:t>
      </w:r>
      <w:r w:rsidRPr="00E41E1D">
        <w:t>ing</w:t>
      </w:r>
      <w:r w:rsidR="00A020E7" w:rsidRPr="00E41E1D">
        <w:t xml:space="preserve"> </w:t>
      </w:r>
      <w:r w:rsidRPr="00E41E1D">
        <w:t>an</w:t>
      </w:r>
      <w:r w:rsidR="00A020E7" w:rsidRPr="00E41E1D">
        <w:t xml:space="preserve"> evaluation of biases and barriers. </w:t>
      </w:r>
      <w:r w:rsidR="00D01029" w:rsidRPr="00E41E1D">
        <w:t>Plus, i</w:t>
      </w:r>
      <w:r w:rsidR="00493C0A" w:rsidRPr="00E41E1D">
        <w:t>f you are doing screening, written exams, interviews or reference checks, then you may add one of these additional tools to your evaluation</w:t>
      </w:r>
      <w:r w:rsidR="00A020E7" w:rsidRPr="00E41E1D">
        <w:t>:</w:t>
      </w:r>
    </w:p>
    <w:p w14:paraId="1F7C74C7" w14:textId="581EEB9B" w:rsidR="00A020E7" w:rsidRPr="00E41E1D" w:rsidRDefault="00A020E7" w:rsidP="00A11CAF">
      <w:pPr>
        <w:pStyle w:val="ListParagraph"/>
        <w:numPr>
          <w:ilvl w:val="0"/>
          <w:numId w:val="21"/>
        </w:numPr>
        <w:spacing w:after="160"/>
        <w:ind w:left="714" w:hanging="357"/>
      </w:pPr>
      <w:r w:rsidRPr="00E41E1D">
        <w:t>Tool on Biases and Barriers in Screening</w:t>
      </w:r>
    </w:p>
    <w:p w14:paraId="336B948F" w14:textId="170D70BB" w:rsidR="00A020E7" w:rsidRPr="00E41E1D" w:rsidRDefault="00A020E7" w:rsidP="00A11CAF">
      <w:pPr>
        <w:pStyle w:val="ListParagraph"/>
        <w:numPr>
          <w:ilvl w:val="0"/>
          <w:numId w:val="21"/>
        </w:numPr>
        <w:spacing w:after="160"/>
        <w:ind w:left="714" w:hanging="357"/>
      </w:pPr>
      <w:r w:rsidRPr="00E41E1D">
        <w:t xml:space="preserve">Tool on Biases and Barriers in Written </w:t>
      </w:r>
      <w:r w:rsidR="00493C0A" w:rsidRPr="00E41E1D">
        <w:t>E</w:t>
      </w:r>
      <w:r w:rsidRPr="00E41E1D">
        <w:t>xam</w:t>
      </w:r>
      <w:r w:rsidR="002F356E" w:rsidRPr="00E41E1D">
        <w:t>s</w:t>
      </w:r>
    </w:p>
    <w:p w14:paraId="60C9F0B1" w14:textId="79AA8401" w:rsidR="008615F0" w:rsidRPr="00E41E1D" w:rsidRDefault="00A020E7" w:rsidP="00A11CAF">
      <w:pPr>
        <w:pStyle w:val="ListParagraph"/>
        <w:numPr>
          <w:ilvl w:val="0"/>
          <w:numId w:val="21"/>
        </w:numPr>
        <w:spacing w:after="160"/>
        <w:ind w:left="714" w:hanging="357"/>
      </w:pPr>
      <w:r w:rsidRPr="00E41E1D">
        <w:t>Tool on Biases and Barriers in Interview</w:t>
      </w:r>
      <w:r w:rsidR="002F356E" w:rsidRPr="00E41E1D">
        <w:t>s</w:t>
      </w:r>
    </w:p>
    <w:p w14:paraId="52F7A3DC" w14:textId="1D9724E8" w:rsidR="005F7D8D" w:rsidRPr="00E41E1D" w:rsidRDefault="008615F0" w:rsidP="00A11CAF">
      <w:pPr>
        <w:pStyle w:val="ListParagraph"/>
        <w:numPr>
          <w:ilvl w:val="0"/>
          <w:numId w:val="21"/>
        </w:numPr>
        <w:spacing w:after="160"/>
        <w:ind w:left="714" w:hanging="357"/>
      </w:pPr>
      <w:r w:rsidRPr="00E41E1D">
        <w:t>Tool on Biases and Barriers in Reference Check</w:t>
      </w:r>
      <w:r w:rsidR="002F356E" w:rsidRPr="00E41E1D">
        <w:t>s</w:t>
      </w:r>
    </w:p>
    <w:sectPr w:rsidR="005F7D8D" w:rsidRPr="00E41E1D" w:rsidSect="00941B2E">
      <w:footerReference w:type="default" r:id="rId23"/>
      <w:headerReference w:type="first" r:id="rId24"/>
      <w:footerReference w:type="firs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7E33" w14:textId="77777777" w:rsidR="00407F6E" w:rsidRDefault="00407F6E" w:rsidP="00941B2E">
      <w:pPr>
        <w:spacing w:after="0" w:line="240" w:lineRule="auto"/>
      </w:pPr>
      <w:r>
        <w:separator/>
      </w:r>
    </w:p>
  </w:endnote>
  <w:endnote w:type="continuationSeparator" w:id="0">
    <w:p w14:paraId="34F44F09" w14:textId="77777777" w:rsidR="00407F6E" w:rsidRDefault="00407F6E" w:rsidP="009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9706" w14:textId="2B5C94C4" w:rsidR="00941B2E" w:rsidRPr="002F365C" w:rsidRDefault="00941B2E" w:rsidP="00727B66">
    <w:pPr>
      <w:pStyle w:val="Footer"/>
      <w:spacing w:after="240"/>
      <w:rPr>
        <w:rFonts w:ascii="Segoe UI Semibold" w:hAnsi="Segoe UI Semibold" w:cs="Segoe UI Semibold"/>
      </w:rPr>
    </w:pPr>
    <w:r w:rsidRPr="00941B2E">
      <w:rPr>
        <w:rFonts w:ascii="Segoe UI Semibold" w:hAnsi="Segoe UI Semibold" w:cs="Segoe UI Semibold"/>
        <w:noProof/>
        <w:lang w:eastAsia="en-CA"/>
      </w:rPr>
      <w:drawing>
        <wp:anchor distT="0" distB="0" distL="114300" distR="114300" simplePos="0" relativeHeight="251661312" behindDoc="1" locked="0" layoutInCell="1" allowOverlap="1" wp14:anchorId="63881501" wp14:editId="0B702FA3">
          <wp:simplePos x="0" y="0"/>
          <wp:positionH relativeFrom="column">
            <wp:posOffset>-967563</wp:posOffset>
          </wp:positionH>
          <wp:positionV relativeFrom="page">
            <wp:posOffset>9388549</wp:posOffset>
          </wp:positionV>
          <wp:extent cx="7830000" cy="643620"/>
          <wp:effectExtent l="0" t="0" r="0" b="4445"/>
          <wp:wrapNone/>
          <wp:docPr id="528" name="Picture 528"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Picture 528" descr="Decorativ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30000" cy="643620"/>
                  </a:xfrm>
                  <a:prstGeom prst="rect">
                    <a:avLst/>
                  </a:prstGeom>
                </pic:spPr>
              </pic:pic>
            </a:graphicData>
          </a:graphic>
          <wp14:sizeRelH relativeFrom="margin">
            <wp14:pctWidth>0</wp14:pctWidth>
          </wp14:sizeRelH>
          <wp14:sizeRelV relativeFrom="margin">
            <wp14:pctHeight>0</wp14:pctHeight>
          </wp14:sizeRelV>
        </wp:anchor>
      </w:drawing>
    </w:r>
    <w:r w:rsidRPr="00941B2E">
      <w:rPr>
        <w:rFonts w:ascii="Segoe UI Semibold" w:hAnsi="Segoe UI Semibold" w:cs="Segoe UI Semibold"/>
      </w:rPr>
      <w:fldChar w:fldCharType="begin"/>
    </w:r>
    <w:r w:rsidRPr="002F365C">
      <w:rPr>
        <w:rFonts w:ascii="Segoe UI Semibold" w:hAnsi="Segoe UI Semibold" w:cs="Segoe UI Semibold"/>
      </w:rPr>
      <w:instrText xml:space="preserve"> PAGE   \* MERGEFORMAT </w:instrText>
    </w:r>
    <w:r w:rsidRPr="00941B2E">
      <w:rPr>
        <w:rFonts w:ascii="Segoe UI Semibold" w:hAnsi="Segoe UI Semibold" w:cs="Segoe UI Semibold"/>
      </w:rPr>
      <w:fldChar w:fldCharType="separate"/>
    </w:r>
    <w:r w:rsidRPr="002F365C">
      <w:rPr>
        <w:rFonts w:ascii="Segoe UI Semibold" w:hAnsi="Segoe UI Semibold" w:cs="Segoe UI Semibold"/>
      </w:rPr>
      <w:t>2</w:t>
    </w:r>
    <w:r w:rsidRPr="00941B2E">
      <w:rPr>
        <w:rFonts w:ascii="Segoe UI Semibold" w:hAnsi="Segoe UI Semibold" w:cs="Segoe UI Semibold"/>
        <w:noProof/>
      </w:rPr>
      <w:fldChar w:fldCharType="end"/>
    </w:r>
    <w:r w:rsidRPr="002F365C">
      <w:rPr>
        <w:rFonts w:ascii="Segoe UI Semibold" w:hAnsi="Segoe UI Semibold" w:cs="Segoe UI Semibold"/>
        <w:noProof/>
      </w:rPr>
      <w:t xml:space="preserve"> – </w:t>
    </w:r>
    <w:r w:rsidR="002F365C" w:rsidRPr="002F365C">
      <w:rPr>
        <w:rFonts w:ascii="Segoe UI Semibold" w:hAnsi="Segoe UI Semibold" w:cs="Segoe UI Semibold"/>
      </w:rPr>
      <w:t>Biases and Barriers in A</w:t>
    </w:r>
    <w:r w:rsidR="002F365C">
      <w:rPr>
        <w:rFonts w:ascii="Segoe UI Semibold" w:hAnsi="Segoe UI Semibold" w:cs="Segoe UI Semibold"/>
      </w:rPr>
      <w:t>ssessments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71DF" w14:textId="77777777" w:rsidR="00941B2E" w:rsidRDefault="00941B2E">
    <w:pPr>
      <w:pStyle w:val="Footer"/>
    </w:pPr>
    <w:r>
      <w:rPr>
        <w:noProof/>
        <w:lang w:eastAsia="en-CA"/>
      </w:rPr>
      <w:drawing>
        <wp:anchor distT="0" distB="0" distL="114300" distR="114300" simplePos="0" relativeHeight="251659264" behindDoc="1" locked="0" layoutInCell="1" allowOverlap="1" wp14:anchorId="04FB056B" wp14:editId="2D0B7D50">
          <wp:simplePos x="0" y="0"/>
          <wp:positionH relativeFrom="page">
            <wp:align>left</wp:align>
          </wp:positionH>
          <wp:positionV relativeFrom="page">
            <wp:posOffset>5883918</wp:posOffset>
          </wp:positionV>
          <wp:extent cx="7800212" cy="3891600"/>
          <wp:effectExtent l="0" t="0" r="0" b="0"/>
          <wp:wrapNone/>
          <wp:docPr id="530" name="Picture 530" descr="Canada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Picture 530" descr="Canada wordmark"/>
                  <pic:cNvPicPr/>
                </pic:nvPicPr>
                <pic:blipFill>
                  <a:blip r:embed="rId1">
                    <a:extLst>
                      <a:ext uri="{28A0092B-C50C-407E-A947-70E740481C1C}">
                        <a14:useLocalDpi xmlns:a14="http://schemas.microsoft.com/office/drawing/2010/main" val="0"/>
                      </a:ext>
                    </a:extLst>
                  </a:blip>
                  <a:stretch>
                    <a:fillRect/>
                  </a:stretch>
                </pic:blipFill>
                <pic:spPr>
                  <a:xfrm>
                    <a:off x="0" y="0"/>
                    <a:ext cx="7800212" cy="389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A0DE" w14:textId="77777777" w:rsidR="00407F6E" w:rsidRDefault="00407F6E" w:rsidP="00941B2E">
      <w:pPr>
        <w:spacing w:after="0" w:line="240" w:lineRule="auto"/>
      </w:pPr>
      <w:r>
        <w:separator/>
      </w:r>
    </w:p>
  </w:footnote>
  <w:footnote w:type="continuationSeparator" w:id="0">
    <w:p w14:paraId="412067EC" w14:textId="77777777" w:rsidR="00407F6E" w:rsidRDefault="00407F6E" w:rsidP="00941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6243" w14:textId="7264DD25" w:rsidR="00941B2E" w:rsidRDefault="00941B2E">
    <w:pPr>
      <w:pStyle w:val="Header"/>
    </w:pPr>
    <w:r>
      <w:rPr>
        <w:noProof/>
        <w:lang w:eastAsia="en-CA"/>
      </w:rPr>
      <w:drawing>
        <wp:inline distT="0" distB="0" distL="0" distR="0" wp14:anchorId="256096FA" wp14:editId="058CC8AB">
          <wp:extent cx="4485834" cy="267086"/>
          <wp:effectExtent l="0" t="0" r="0" b="0"/>
          <wp:docPr id="1" name="Picture 1" descr="Public Service Commission of Canada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ublic Service Commission of Canada identifier"/>
                  <pic:cNvPicPr/>
                </pic:nvPicPr>
                <pic:blipFill>
                  <a:blip r:embed="rId1">
                    <a:extLst>
                      <a:ext uri="{28A0092B-C50C-407E-A947-70E740481C1C}">
                        <a14:useLocalDpi xmlns:a14="http://schemas.microsoft.com/office/drawing/2010/main" val="0"/>
                      </a:ext>
                    </a:extLst>
                  </a:blip>
                  <a:stretch>
                    <a:fillRect/>
                  </a:stretch>
                </pic:blipFill>
                <pic:spPr>
                  <a:xfrm>
                    <a:off x="0" y="0"/>
                    <a:ext cx="4485834" cy="2670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5C5E"/>
    <w:multiLevelType w:val="hybridMultilevel"/>
    <w:tmpl w:val="96B04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A62B55"/>
    <w:multiLevelType w:val="hybridMultilevel"/>
    <w:tmpl w:val="2BE0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9A75B4"/>
    <w:multiLevelType w:val="hybridMultilevel"/>
    <w:tmpl w:val="B4384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8900A2"/>
    <w:multiLevelType w:val="hybridMultilevel"/>
    <w:tmpl w:val="DF0E9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570122"/>
    <w:multiLevelType w:val="hybridMultilevel"/>
    <w:tmpl w:val="2DB03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0376D"/>
    <w:multiLevelType w:val="hybridMultilevel"/>
    <w:tmpl w:val="1BEA4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2A01BD"/>
    <w:multiLevelType w:val="hybridMultilevel"/>
    <w:tmpl w:val="A03C8596"/>
    <w:lvl w:ilvl="0" w:tplc="8EF83A9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89451B"/>
    <w:multiLevelType w:val="hybridMultilevel"/>
    <w:tmpl w:val="C6E28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BB2BAC"/>
    <w:multiLevelType w:val="hybridMultilevel"/>
    <w:tmpl w:val="2D686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F6064"/>
    <w:multiLevelType w:val="hybridMultilevel"/>
    <w:tmpl w:val="6D54A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522CFE"/>
    <w:multiLevelType w:val="hybridMultilevel"/>
    <w:tmpl w:val="AC6C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162B45"/>
    <w:multiLevelType w:val="hybridMultilevel"/>
    <w:tmpl w:val="70668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4C1798"/>
    <w:multiLevelType w:val="hybridMultilevel"/>
    <w:tmpl w:val="D08E5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DE764A"/>
    <w:multiLevelType w:val="hybridMultilevel"/>
    <w:tmpl w:val="909086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AE45D2"/>
    <w:multiLevelType w:val="hybridMultilevel"/>
    <w:tmpl w:val="7A50D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A118D8"/>
    <w:multiLevelType w:val="hybridMultilevel"/>
    <w:tmpl w:val="BCB86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575251"/>
    <w:multiLevelType w:val="hybridMultilevel"/>
    <w:tmpl w:val="8D1A9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82B4B2A"/>
    <w:multiLevelType w:val="hybridMultilevel"/>
    <w:tmpl w:val="B00A2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762A00"/>
    <w:multiLevelType w:val="hybridMultilevel"/>
    <w:tmpl w:val="D48216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231B80"/>
    <w:multiLevelType w:val="hybridMultilevel"/>
    <w:tmpl w:val="7B9CB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7E7A8B"/>
    <w:multiLevelType w:val="hybridMultilevel"/>
    <w:tmpl w:val="EF66C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4"/>
  </w:num>
  <w:num w:numId="4">
    <w:abstractNumId w:val="15"/>
  </w:num>
  <w:num w:numId="5">
    <w:abstractNumId w:val="19"/>
  </w:num>
  <w:num w:numId="6">
    <w:abstractNumId w:val="2"/>
  </w:num>
  <w:num w:numId="7">
    <w:abstractNumId w:val="12"/>
  </w:num>
  <w:num w:numId="8">
    <w:abstractNumId w:val="16"/>
  </w:num>
  <w:num w:numId="9">
    <w:abstractNumId w:val="10"/>
  </w:num>
  <w:num w:numId="10">
    <w:abstractNumId w:val="18"/>
  </w:num>
  <w:num w:numId="11">
    <w:abstractNumId w:val="5"/>
  </w:num>
  <w:num w:numId="12">
    <w:abstractNumId w:val="20"/>
  </w:num>
  <w:num w:numId="13">
    <w:abstractNumId w:val="1"/>
  </w:num>
  <w:num w:numId="14">
    <w:abstractNumId w:val="17"/>
  </w:num>
  <w:num w:numId="15">
    <w:abstractNumId w:val="0"/>
  </w:num>
  <w:num w:numId="16">
    <w:abstractNumId w:val="7"/>
  </w:num>
  <w:num w:numId="17">
    <w:abstractNumId w:val="9"/>
  </w:num>
  <w:num w:numId="18">
    <w:abstractNumId w:val="8"/>
  </w:num>
  <w:num w:numId="19">
    <w:abstractNumId w:val="3"/>
  </w:num>
  <w:num w:numId="20">
    <w:abstractNumId w:val="13"/>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33"/>
    <w:rsid w:val="000004DB"/>
    <w:rsid w:val="00001B4A"/>
    <w:rsid w:val="00001CDF"/>
    <w:rsid w:val="00003565"/>
    <w:rsid w:val="00004149"/>
    <w:rsid w:val="0000559F"/>
    <w:rsid w:val="00007557"/>
    <w:rsid w:val="00010932"/>
    <w:rsid w:val="00012639"/>
    <w:rsid w:val="0001317A"/>
    <w:rsid w:val="0001397B"/>
    <w:rsid w:val="00015C26"/>
    <w:rsid w:val="00016BA1"/>
    <w:rsid w:val="0001724F"/>
    <w:rsid w:val="000177EB"/>
    <w:rsid w:val="00020AA2"/>
    <w:rsid w:val="00021987"/>
    <w:rsid w:val="000236E4"/>
    <w:rsid w:val="00025929"/>
    <w:rsid w:val="00025A6D"/>
    <w:rsid w:val="00026DEA"/>
    <w:rsid w:val="0003065A"/>
    <w:rsid w:val="00031C3B"/>
    <w:rsid w:val="00035557"/>
    <w:rsid w:val="00035F16"/>
    <w:rsid w:val="00040E35"/>
    <w:rsid w:val="00041263"/>
    <w:rsid w:val="0004163B"/>
    <w:rsid w:val="0004177C"/>
    <w:rsid w:val="00041F92"/>
    <w:rsid w:val="000428DB"/>
    <w:rsid w:val="00043A3B"/>
    <w:rsid w:val="00044511"/>
    <w:rsid w:val="0004781C"/>
    <w:rsid w:val="000508D0"/>
    <w:rsid w:val="0006076C"/>
    <w:rsid w:val="00060AD9"/>
    <w:rsid w:val="00062F54"/>
    <w:rsid w:val="000668B6"/>
    <w:rsid w:val="00066F35"/>
    <w:rsid w:val="0007094F"/>
    <w:rsid w:val="00071A3F"/>
    <w:rsid w:val="00072FD2"/>
    <w:rsid w:val="000739AC"/>
    <w:rsid w:val="00076F77"/>
    <w:rsid w:val="0007733A"/>
    <w:rsid w:val="00080A1E"/>
    <w:rsid w:val="000834A7"/>
    <w:rsid w:val="00084C11"/>
    <w:rsid w:val="00086260"/>
    <w:rsid w:val="00087331"/>
    <w:rsid w:val="000879A3"/>
    <w:rsid w:val="00090195"/>
    <w:rsid w:val="000909D4"/>
    <w:rsid w:val="00092487"/>
    <w:rsid w:val="00092C2F"/>
    <w:rsid w:val="00093697"/>
    <w:rsid w:val="00096614"/>
    <w:rsid w:val="00096678"/>
    <w:rsid w:val="0009764E"/>
    <w:rsid w:val="000A000D"/>
    <w:rsid w:val="000A259B"/>
    <w:rsid w:val="000A30F0"/>
    <w:rsid w:val="000A33A6"/>
    <w:rsid w:val="000A60B2"/>
    <w:rsid w:val="000A6994"/>
    <w:rsid w:val="000B400B"/>
    <w:rsid w:val="000B6099"/>
    <w:rsid w:val="000B709B"/>
    <w:rsid w:val="000B7C90"/>
    <w:rsid w:val="000B7E0A"/>
    <w:rsid w:val="000C45EF"/>
    <w:rsid w:val="000C7811"/>
    <w:rsid w:val="000C7D08"/>
    <w:rsid w:val="000D1CDD"/>
    <w:rsid w:val="000D2E6D"/>
    <w:rsid w:val="000D2EA1"/>
    <w:rsid w:val="000D5D66"/>
    <w:rsid w:val="000E6C5D"/>
    <w:rsid w:val="000E7336"/>
    <w:rsid w:val="000E7617"/>
    <w:rsid w:val="000F3278"/>
    <w:rsid w:val="000F3B79"/>
    <w:rsid w:val="000F42DC"/>
    <w:rsid w:val="000F44CA"/>
    <w:rsid w:val="000F5D10"/>
    <w:rsid w:val="000F65EB"/>
    <w:rsid w:val="000F6A2D"/>
    <w:rsid w:val="00100688"/>
    <w:rsid w:val="00104191"/>
    <w:rsid w:val="0010520C"/>
    <w:rsid w:val="00105256"/>
    <w:rsid w:val="00105F1F"/>
    <w:rsid w:val="001061C5"/>
    <w:rsid w:val="00106E97"/>
    <w:rsid w:val="0010718E"/>
    <w:rsid w:val="001108EE"/>
    <w:rsid w:val="00111E58"/>
    <w:rsid w:val="0011328C"/>
    <w:rsid w:val="00114E86"/>
    <w:rsid w:val="001208CB"/>
    <w:rsid w:val="001223CE"/>
    <w:rsid w:val="00122AD3"/>
    <w:rsid w:val="001239EE"/>
    <w:rsid w:val="001247BA"/>
    <w:rsid w:val="0012660D"/>
    <w:rsid w:val="00127D0A"/>
    <w:rsid w:val="001344DD"/>
    <w:rsid w:val="00137B22"/>
    <w:rsid w:val="00140E4A"/>
    <w:rsid w:val="00141344"/>
    <w:rsid w:val="001435D2"/>
    <w:rsid w:val="00144ACA"/>
    <w:rsid w:val="00145886"/>
    <w:rsid w:val="001462FB"/>
    <w:rsid w:val="00146CED"/>
    <w:rsid w:val="00147CB2"/>
    <w:rsid w:val="001508B9"/>
    <w:rsid w:val="001511C2"/>
    <w:rsid w:val="00151232"/>
    <w:rsid w:val="00152A40"/>
    <w:rsid w:val="00152D5E"/>
    <w:rsid w:val="00155E4A"/>
    <w:rsid w:val="001602CE"/>
    <w:rsid w:val="00160928"/>
    <w:rsid w:val="001617F3"/>
    <w:rsid w:val="00161E5C"/>
    <w:rsid w:val="001625B5"/>
    <w:rsid w:val="00164AA3"/>
    <w:rsid w:val="001662E8"/>
    <w:rsid w:val="00167203"/>
    <w:rsid w:val="00167960"/>
    <w:rsid w:val="00170015"/>
    <w:rsid w:val="00170809"/>
    <w:rsid w:val="00170D99"/>
    <w:rsid w:val="00170EAA"/>
    <w:rsid w:val="00171392"/>
    <w:rsid w:val="00171410"/>
    <w:rsid w:val="00172A9B"/>
    <w:rsid w:val="00173E8A"/>
    <w:rsid w:val="00175049"/>
    <w:rsid w:val="001804E0"/>
    <w:rsid w:val="00180F66"/>
    <w:rsid w:val="001813B8"/>
    <w:rsid w:val="001847C3"/>
    <w:rsid w:val="001918E7"/>
    <w:rsid w:val="00193DAA"/>
    <w:rsid w:val="00194108"/>
    <w:rsid w:val="00194C64"/>
    <w:rsid w:val="001A02A7"/>
    <w:rsid w:val="001A101E"/>
    <w:rsid w:val="001A10EA"/>
    <w:rsid w:val="001A2BDF"/>
    <w:rsid w:val="001A32B6"/>
    <w:rsid w:val="001A6296"/>
    <w:rsid w:val="001A6A1D"/>
    <w:rsid w:val="001A6A5F"/>
    <w:rsid w:val="001A7D98"/>
    <w:rsid w:val="001B0160"/>
    <w:rsid w:val="001B135D"/>
    <w:rsid w:val="001B1940"/>
    <w:rsid w:val="001B2C58"/>
    <w:rsid w:val="001B55A8"/>
    <w:rsid w:val="001C0B63"/>
    <w:rsid w:val="001C292E"/>
    <w:rsid w:val="001C3533"/>
    <w:rsid w:val="001C375D"/>
    <w:rsid w:val="001C67B9"/>
    <w:rsid w:val="001C7B29"/>
    <w:rsid w:val="001D0133"/>
    <w:rsid w:val="001D17E6"/>
    <w:rsid w:val="001D4E38"/>
    <w:rsid w:val="001D52A4"/>
    <w:rsid w:val="001D65D7"/>
    <w:rsid w:val="001D735C"/>
    <w:rsid w:val="001E1BF4"/>
    <w:rsid w:val="001E4384"/>
    <w:rsid w:val="001E5292"/>
    <w:rsid w:val="001E5550"/>
    <w:rsid w:val="001E5855"/>
    <w:rsid w:val="001E5D2D"/>
    <w:rsid w:val="001E6EA6"/>
    <w:rsid w:val="001F08D0"/>
    <w:rsid w:val="001F3D73"/>
    <w:rsid w:val="001F40FE"/>
    <w:rsid w:val="001F49A1"/>
    <w:rsid w:val="001F666E"/>
    <w:rsid w:val="001F68BE"/>
    <w:rsid w:val="001F6B05"/>
    <w:rsid w:val="001F732C"/>
    <w:rsid w:val="001F79A7"/>
    <w:rsid w:val="00202313"/>
    <w:rsid w:val="00202432"/>
    <w:rsid w:val="002035B9"/>
    <w:rsid w:val="002058EC"/>
    <w:rsid w:val="002060FC"/>
    <w:rsid w:val="00211F35"/>
    <w:rsid w:val="00212506"/>
    <w:rsid w:val="0021265A"/>
    <w:rsid w:val="002134C0"/>
    <w:rsid w:val="00213F23"/>
    <w:rsid w:val="00216A4F"/>
    <w:rsid w:val="0021706D"/>
    <w:rsid w:val="00217762"/>
    <w:rsid w:val="00217F81"/>
    <w:rsid w:val="00220672"/>
    <w:rsid w:val="00222570"/>
    <w:rsid w:val="002233D5"/>
    <w:rsid w:val="00224F9A"/>
    <w:rsid w:val="002251AE"/>
    <w:rsid w:val="0022662E"/>
    <w:rsid w:val="002267B0"/>
    <w:rsid w:val="00227D78"/>
    <w:rsid w:val="00231B3D"/>
    <w:rsid w:val="00231FA3"/>
    <w:rsid w:val="00232FEB"/>
    <w:rsid w:val="00233191"/>
    <w:rsid w:val="002369D5"/>
    <w:rsid w:val="00236B3B"/>
    <w:rsid w:val="00240FA7"/>
    <w:rsid w:val="00244EC1"/>
    <w:rsid w:val="00245E19"/>
    <w:rsid w:val="002510B1"/>
    <w:rsid w:val="002511D4"/>
    <w:rsid w:val="00251F95"/>
    <w:rsid w:val="00253697"/>
    <w:rsid w:val="002543E7"/>
    <w:rsid w:val="00255416"/>
    <w:rsid w:val="0025565B"/>
    <w:rsid w:val="00255827"/>
    <w:rsid w:val="00263B3F"/>
    <w:rsid w:val="0026521F"/>
    <w:rsid w:val="00265711"/>
    <w:rsid w:val="00265B5E"/>
    <w:rsid w:val="00267F95"/>
    <w:rsid w:val="002708AB"/>
    <w:rsid w:val="0027190C"/>
    <w:rsid w:val="00274120"/>
    <w:rsid w:val="00274A99"/>
    <w:rsid w:val="00276126"/>
    <w:rsid w:val="002762C4"/>
    <w:rsid w:val="00276FF0"/>
    <w:rsid w:val="00281409"/>
    <w:rsid w:val="00281458"/>
    <w:rsid w:val="0028440F"/>
    <w:rsid w:val="002846D8"/>
    <w:rsid w:val="002865E0"/>
    <w:rsid w:val="00287434"/>
    <w:rsid w:val="00287575"/>
    <w:rsid w:val="00291325"/>
    <w:rsid w:val="002919D9"/>
    <w:rsid w:val="002939B0"/>
    <w:rsid w:val="00293A2F"/>
    <w:rsid w:val="00296061"/>
    <w:rsid w:val="002977FF"/>
    <w:rsid w:val="002A08ED"/>
    <w:rsid w:val="002A1048"/>
    <w:rsid w:val="002A116B"/>
    <w:rsid w:val="002A3EF4"/>
    <w:rsid w:val="002A40B0"/>
    <w:rsid w:val="002A443E"/>
    <w:rsid w:val="002A4757"/>
    <w:rsid w:val="002A5D98"/>
    <w:rsid w:val="002B007B"/>
    <w:rsid w:val="002B0410"/>
    <w:rsid w:val="002B320A"/>
    <w:rsid w:val="002B41C2"/>
    <w:rsid w:val="002B50F6"/>
    <w:rsid w:val="002B6778"/>
    <w:rsid w:val="002B68BE"/>
    <w:rsid w:val="002C0CF0"/>
    <w:rsid w:val="002C110B"/>
    <w:rsid w:val="002C130C"/>
    <w:rsid w:val="002C1398"/>
    <w:rsid w:val="002C1B03"/>
    <w:rsid w:val="002C5F1F"/>
    <w:rsid w:val="002D010D"/>
    <w:rsid w:val="002D2515"/>
    <w:rsid w:val="002D2644"/>
    <w:rsid w:val="002D46F5"/>
    <w:rsid w:val="002D5B80"/>
    <w:rsid w:val="002D5D5A"/>
    <w:rsid w:val="002E3443"/>
    <w:rsid w:val="002E6602"/>
    <w:rsid w:val="002E780E"/>
    <w:rsid w:val="002E7A84"/>
    <w:rsid w:val="002F003D"/>
    <w:rsid w:val="002F01AB"/>
    <w:rsid w:val="002F1735"/>
    <w:rsid w:val="002F356E"/>
    <w:rsid w:val="002F365C"/>
    <w:rsid w:val="002F42E6"/>
    <w:rsid w:val="002F4B87"/>
    <w:rsid w:val="002F4E0C"/>
    <w:rsid w:val="002F55BF"/>
    <w:rsid w:val="002F781A"/>
    <w:rsid w:val="002F7E40"/>
    <w:rsid w:val="00300858"/>
    <w:rsid w:val="003012B9"/>
    <w:rsid w:val="0030473E"/>
    <w:rsid w:val="00307D01"/>
    <w:rsid w:val="003130E7"/>
    <w:rsid w:val="0031331E"/>
    <w:rsid w:val="003146C0"/>
    <w:rsid w:val="003154CA"/>
    <w:rsid w:val="003158B4"/>
    <w:rsid w:val="00316FB0"/>
    <w:rsid w:val="00317B2E"/>
    <w:rsid w:val="003200C0"/>
    <w:rsid w:val="00322712"/>
    <w:rsid w:val="00324DDE"/>
    <w:rsid w:val="0032602E"/>
    <w:rsid w:val="0032744E"/>
    <w:rsid w:val="0033146B"/>
    <w:rsid w:val="0033157F"/>
    <w:rsid w:val="00331D19"/>
    <w:rsid w:val="00333F85"/>
    <w:rsid w:val="00334604"/>
    <w:rsid w:val="00335E78"/>
    <w:rsid w:val="00336E7D"/>
    <w:rsid w:val="00343B16"/>
    <w:rsid w:val="00344452"/>
    <w:rsid w:val="003469BB"/>
    <w:rsid w:val="00352AC1"/>
    <w:rsid w:val="00353A5D"/>
    <w:rsid w:val="00353CEE"/>
    <w:rsid w:val="00354145"/>
    <w:rsid w:val="00354172"/>
    <w:rsid w:val="00355341"/>
    <w:rsid w:val="003557AC"/>
    <w:rsid w:val="00355F08"/>
    <w:rsid w:val="003561D5"/>
    <w:rsid w:val="00363C8E"/>
    <w:rsid w:val="00363D43"/>
    <w:rsid w:val="003673E7"/>
    <w:rsid w:val="0037143B"/>
    <w:rsid w:val="00372E88"/>
    <w:rsid w:val="003734A5"/>
    <w:rsid w:val="00375D5B"/>
    <w:rsid w:val="00377735"/>
    <w:rsid w:val="00380517"/>
    <w:rsid w:val="00380682"/>
    <w:rsid w:val="0038078D"/>
    <w:rsid w:val="00381680"/>
    <w:rsid w:val="00382A90"/>
    <w:rsid w:val="00383738"/>
    <w:rsid w:val="00383C0C"/>
    <w:rsid w:val="00384E30"/>
    <w:rsid w:val="00385075"/>
    <w:rsid w:val="00387529"/>
    <w:rsid w:val="003878A3"/>
    <w:rsid w:val="0039150D"/>
    <w:rsid w:val="00394FA4"/>
    <w:rsid w:val="003A0C88"/>
    <w:rsid w:val="003A1895"/>
    <w:rsid w:val="003A7190"/>
    <w:rsid w:val="003A759E"/>
    <w:rsid w:val="003B0238"/>
    <w:rsid w:val="003B1304"/>
    <w:rsid w:val="003B13AD"/>
    <w:rsid w:val="003B23F7"/>
    <w:rsid w:val="003B306E"/>
    <w:rsid w:val="003B3D53"/>
    <w:rsid w:val="003B4201"/>
    <w:rsid w:val="003B6638"/>
    <w:rsid w:val="003B6FA4"/>
    <w:rsid w:val="003B7CD9"/>
    <w:rsid w:val="003C1C75"/>
    <w:rsid w:val="003C1F7A"/>
    <w:rsid w:val="003C291D"/>
    <w:rsid w:val="003C571B"/>
    <w:rsid w:val="003C76C4"/>
    <w:rsid w:val="003C7C28"/>
    <w:rsid w:val="003D13D8"/>
    <w:rsid w:val="003D29A1"/>
    <w:rsid w:val="003D2B6D"/>
    <w:rsid w:val="003D415E"/>
    <w:rsid w:val="003D42E6"/>
    <w:rsid w:val="003D46B1"/>
    <w:rsid w:val="003D5652"/>
    <w:rsid w:val="003D5989"/>
    <w:rsid w:val="003D6F0F"/>
    <w:rsid w:val="003D7BEB"/>
    <w:rsid w:val="003E0B32"/>
    <w:rsid w:val="003E0D99"/>
    <w:rsid w:val="003E1420"/>
    <w:rsid w:val="003E14A3"/>
    <w:rsid w:val="003E4226"/>
    <w:rsid w:val="003E6AF7"/>
    <w:rsid w:val="003E7321"/>
    <w:rsid w:val="003E73BF"/>
    <w:rsid w:val="003E7488"/>
    <w:rsid w:val="003F145B"/>
    <w:rsid w:val="003F2F5E"/>
    <w:rsid w:val="003F3AAD"/>
    <w:rsid w:val="003F4E96"/>
    <w:rsid w:val="003F6C11"/>
    <w:rsid w:val="004024B7"/>
    <w:rsid w:val="004024F1"/>
    <w:rsid w:val="00404012"/>
    <w:rsid w:val="00407D2D"/>
    <w:rsid w:val="00407F6E"/>
    <w:rsid w:val="00412C13"/>
    <w:rsid w:val="00413138"/>
    <w:rsid w:val="00413268"/>
    <w:rsid w:val="00413D68"/>
    <w:rsid w:val="00415F09"/>
    <w:rsid w:val="00417DD5"/>
    <w:rsid w:val="00421E64"/>
    <w:rsid w:val="0042275E"/>
    <w:rsid w:val="004240F5"/>
    <w:rsid w:val="0042667B"/>
    <w:rsid w:val="00426D63"/>
    <w:rsid w:val="004271F6"/>
    <w:rsid w:val="0042767B"/>
    <w:rsid w:val="00430C1E"/>
    <w:rsid w:val="00433207"/>
    <w:rsid w:val="00433AD9"/>
    <w:rsid w:val="00434E06"/>
    <w:rsid w:val="004371F9"/>
    <w:rsid w:val="004449FA"/>
    <w:rsid w:val="0044573E"/>
    <w:rsid w:val="004461F8"/>
    <w:rsid w:val="004466AC"/>
    <w:rsid w:val="00447B4F"/>
    <w:rsid w:val="004503C5"/>
    <w:rsid w:val="0045139E"/>
    <w:rsid w:val="00452754"/>
    <w:rsid w:val="00452C8D"/>
    <w:rsid w:val="004534E0"/>
    <w:rsid w:val="004573D9"/>
    <w:rsid w:val="00461209"/>
    <w:rsid w:val="004614CA"/>
    <w:rsid w:val="004647E1"/>
    <w:rsid w:val="004657D2"/>
    <w:rsid w:val="004667A1"/>
    <w:rsid w:val="00466DE5"/>
    <w:rsid w:val="0047072A"/>
    <w:rsid w:val="0047252D"/>
    <w:rsid w:val="00474B04"/>
    <w:rsid w:val="00474DB1"/>
    <w:rsid w:val="00476F25"/>
    <w:rsid w:val="0047706E"/>
    <w:rsid w:val="00477A1E"/>
    <w:rsid w:val="0048078B"/>
    <w:rsid w:val="00481091"/>
    <w:rsid w:val="00481C90"/>
    <w:rsid w:val="0048275D"/>
    <w:rsid w:val="00482A8D"/>
    <w:rsid w:val="00484030"/>
    <w:rsid w:val="004851D6"/>
    <w:rsid w:val="004859B0"/>
    <w:rsid w:val="00491EB1"/>
    <w:rsid w:val="004930F4"/>
    <w:rsid w:val="0049314E"/>
    <w:rsid w:val="004939D5"/>
    <w:rsid w:val="00493C0A"/>
    <w:rsid w:val="004A0045"/>
    <w:rsid w:val="004A289A"/>
    <w:rsid w:val="004A3645"/>
    <w:rsid w:val="004A5C52"/>
    <w:rsid w:val="004A6265"/>
    <w:rsid w:val="004A75EA"/>
    <w:rsid w:val="004A7A52"/>
    <w:rsid w:val="004B027B"/>
    <w:rsid w:val="004B36AB"/>
    <w:rsid w:val="004B50F3"/>
    <w:rsid w:val="004B7012"/>
    <w:rsid w:val="004C0CA0"/>
    <w:rsid w:val="004C0ECE"/>
    <w:rsid w:val="004C4330"/>
    <w:rsid w:val="004C43E7"/>
    <w:rsid w:val="004C63B0"/>
    <w:rsid w:val="004C6A3C"/>
    <w:rsid w:val="004C6CC6"/>
    <w:rsid w:val="004C7399"/>
    <w:rsid w:val="004D23AD"/>
    <w:rsid w:val="004D2FD7"/>
    <w:rsid w:val="004D36ED"/>
    <w:rsid w:val="004D37A9"/>
    <w:rsid w:val="004E399A"/>
    <w:rsid w:val="004E58B0"/>
    <w:rsid w:val="004E7280"/>
    <w:rsid w:val="004E78AD"/>
    <w:rsid w:val="004F1DBC"/>
    <w:rsid w:val="004F299A"/>
    <w:rsid w:val="004F31D5"/>
    <w:rsid w:val="004F7803"/>
    <w:rsid w:val="00500D75"/>
    <w:rsid w:val="00501454"/>
    <w:rsid w:val="00502838"/>
    <w:rsid w:val="00503A2F"/>
    <w:rsid w:val="00505D44"/>
    <w:rsid w:val="005068EC"/>
    <w:rsid w:val="005074DD"/>
    <w:rsid w:val="00507B25"/>
    <w:rsid w:val="005111F2"/>
    <w:rsid w:val="00512250"/>
    <w:rsid w:val="0051402E"/>
    <w:rsid w:val="005143FC"/>
    <w:rsid w:val="00515B24"/>
    <w:rsid w:val="00515D53"/>
    <w:rsid w:val="00516DAD"/>
    <w:rsid w:val="00516EB0"/>
    <w:rsid w:val="005179DD"/>
    <w:rsid w:val="005241A4"/>
    <w:rsid w:val="00525001"/>
    <w:rsid w:val="00526693"/>
    <w:rsid w:val="00526F3F"/>
    <w:rsid w:val="0053039B"/>
    <w:rsid w:val="005317AF"/>
    <w:rsid w:val="00534639"/>
    <w:rsid w:val="0053593F"/>
    <w:rsid w:val="00535EF5"/>
    <w:rsid w:val="00537854"/>
    <w:rsid w:val="00540604"/>
    <w:rsid w:val="00541101"/>
    <w:rsid w:val="00542A21"/>
    <w:rsid w:val="00542E52"/>
    <w:rsid w:val="005444EB"/>
    <w:rsid w:val="00545AA5"/>
    <w:rsid w:val="00545E2D"/>
    <w:rsid w:val="00547F88"/>
    <w:rsid w:val="00550019"/>
    <w:rsid w:val="005529A4"/>
    <w:rsid w:val="00553E1A"/>
    <w:rsid w:val="00554808"/>
    <w:rsid w:val="00554AD6"/>
    <w:rsid w:val="00554CBA"/>
    <w:rsid w:val="00561506"/>
    <w:rsid w:val="005615DF"/>
    <w:rsid w:val="00563580"/>
    <w:rsid w:val="00563BCC"/>
    <w:rsid w:val="005654BD"/>
    <w:rsid w:val="00570206"/>
    <w:rsid w:val="00571954"/>
    <w:rsid w:val="00571BEA"/>
    <w:rsid w:val="00572EFA"/>
    <w:rsid w:val="00573122"/>
    <w:rsid w:val="0057320B"/>
    <w:rsid w:val="005732AF"/>
    <w:rsid w:val="005732B0"/>
    <w:rsid w:val="00574000"/>
    <w:rsid w:val="005766A0"/>
    <w:rsid w:val="0057691C"/>
    <w:rsid w:val="0058085E"/>
    <w:rsid w:val="00585184"/>
    <w:rsid w:val="005868E2"/>
    <w:rsid w:val="00591AC9"/>
    <w:rsid w:val="00593225"/>
    <w:rsid w:val="00594131"/>
    <w:rsid w:val="00594619"/>
    <w:rsid w:val="005958C2"/>
    <w:rsid w:val="005970BE"/>
    <w:rsid w:val="005A12B8"/>
    <w:rsid w:val="005A2C0C"/>
    <w:rsid w:val="005A42AA"/>
    <w:rsid w:val="005A6C87"/>
    <w:rsid w:val="005A718E"/>
    <w:rsid w:val="005B0091"/>
    <w:rsid w:val="005B6348"/>
    <w:rsid w:val="005B76FE"/>
    <w:rsid w:val="005B7B37"/>
    <w:rsid w:val="005B7DD8"/>
    <w:rsid w:val="005C04A8"/>
    <w:rsid w:val="005C24D6"/>
    <w:rsid w:val="005C7123"/>
    <w:rsid w:val="005D0B6E"/>
    <w:rsid w:val="005D23BB"/>
    <w:rsid w:val="005D2B5A"/>
    <w:rsid w:val="005D48E3"/>
    <w:rsid w:val="005D48F0"/>
    <w:rsid w:val="005D693B"/>
    <w:rsid w:val="005E226E"/>
    <w:rsid w:val="005E4869"/>
    <w:rsid w:val="005E495F"/>
    <w:rsid w:val="005E4AD9"/>
    <w:rsid w:val="005E4B30"/>
    <w:rsid w:val="005E724A"/>
    <w:rsid w:val="005E7E0D"/>
    <w:rsid w:val="005F1AB5"/>
    <w:rsid w:val="005F349B"/>
    <w:rsid w:val="005F3C4E"/>
    <w:rsid w:val="005F4555"/>
    <w:rsid w:val="005F4A4E"/>
    <w:rsid w:val="005F507E"/>
    <w:rsid w:val="005F6DA0"/>
    <w:rsid w:val="005F78A5"/>
    <w:rsid w:val="005F7D8D"/>
    <w:rsid w:val="00600004"/>
    <w:rsid w:val="00601758"/>
    <w:rsid w:val="00604711"/>
    <w:rsid w:val="00604C72"/>
    <w:rsid w:val="00610AD3"/>
    <w:rsid w:val="00611B85"/>
    <w:rsid w:val="006122AC"/>
    <w:rsid w:val="00612B72"/>
    <w:rsid w:val="006135B5"/>
    <w:rsid w:val="00613A24"/>
    <w:rsid w:val="00616DC2"/>
    <w:rsid w:val="00617AF9"/>
    <w:rsid w:val="006224EF"/>
    <w:rsid w:val="006240F1"/>
    <w:rsid w:val="00624289"/>
    <w:rsid w:val="006261F8"/>
    <w:rsid w:val="006267A6"/>
    <w:rsid w:val="00626970"/>
    <w:rsid w:val="00631C97"/>
    <w:rsid w:val="0063418A"/>
    <w:rsid w:val="0063533A"/>
    <w:rsid w:val="00635C76"/>
    <w:rsid w:val="0063691E"/>
    <w:rsid w:val="00636FE2"/>
    <w:rsid w:val="0063790F"/>
    <w:rsid w:val="0064013B"/>
    <w:rsid w:val="0064119A"/>
    <w:rsid w:val="006415DF"/>
    <w:rsid w:val="00642C42"/>
    <w:rsid w:val="0064390B"/>
    <w:rsid w:val="0064553D"/>
    <w:rsid w:val="0065528E"/>
    <w:rsid w:val="0065591D"/>
    <w:rsid w:val="00655B47"/>
    <w:rsid w:val="0066002E"/>
    <w:rsid w:val="00661196"/>
    <w:rsid w:val="00661DA8"/>
    <w:rsid w:val="006624FE"/>
    <w:rsid w:val="00663102"/>
    <w:rsid w:val="00664195"/>
    <w:rsid w:val="00666E0F"/>
    <w:rsid w:val="00671B13"/>
    <w:rsid w:val="00673B4A"/>
    <w:rsid w:val="00674C04"/>
    <w:rsid w:val="00676034"/>
    <w:rsid w:val="00677794"/>
    <w:rsid w:val="0068268D"/>
    <w:rsid w:val="006826CE"/>
    <w:rsid w:val="006859F6"/>
    <w:rsid w:val="00685FE3"/>
    <w:rsid w:val="0068646B"/>
    <w:rsid w:val="00687321"/>
    <w:rsid w:val="00687676"/>
    <w:rsid w:val="00691CAA"/>
    <w:rsid w:val="00693E51"/>
    <w:rsid w:val="00695524"/>
    <w:rsid w:val="006955A5"/>
    <w:rsid w:val="0069639C"/>
    <w:rsid w:val="006964DE"/>
    <w:rsid w:val="00697C24"/>
    <w:rsid w:val="006A0062"/>
    <w:rsid w:val="006A11D2"/>
    <w:rsid w:val="006A20EB"/>
    <w:rsid w:val="006A286A"/>
    <w:rsid w:val="006A3AA7"/>
    <w:rsid w:val="006A3ED9"/>
    <w:rsid w:val="006A429D"/>
    <w:rsid w:val="006A4C8D"/>
    <w:rsid w:val="006A6029"/>
    <w:rsid w:val="006B1D6B"/>
    <w:rsid w:val="006B1DCA"/>
    <w:rsid w:val="006C0FB9"/>
    <w:rsid w:val="006C3FB5"/>
    <w:rsid w:val="006C566D"/>
    <w:rsid w:val="006D6A2A"/>
    <w:rsid w:val="006D7CAB"/>
    <w:rsid w:val="006E0656"/>
    <w:rsid w:val="006E167F"/>
    <w:rsid w:val="006E29A7"/>
    <w:rsid w:val="006E379F"/>
    <w:rsid w:val="006E4F80"/>
    <w:rsid w:val="006E5000"/>
    <w:rsid w:val="006E5761"/>
    <w:rsid w:val="006E6A64"/>
    <w:rsid w:val="006F15C0"/>
    <w:rsid w:val="006F1E6B"/>
    <w:rsid w:val="006F4D63"/>
    <w:rsid w:val="006F58AF"/>
    <w:rsid w:val="006F6176"/>
    <w:rsid w:val="006F6360"/>
    <w:rsid w:val="00700419"/>
    <w:rsid w:val="00700609"/>
    <w:rsid w:val="0070254B"/>
    <w:rsid w:val="0070422A"/>
    <w:rsid w:val="00707209"/>
    <w:rsid w:val="007108C8"/>
    <w:rsid w:val="00710BB4"/>
    <w:rsid w:val="00715B56"/>
    <w:rsid w:val="0071725A"/>
    <w:rsid w:val="00717C00"/>
    <w:rsid w:val="007206B3"/>
    <w:rsid w:val="007216B5"/>
    <w:rsid w:val="00723A5D"/>
    <w:rsid w:val="007240E2"/>
    <w:rsid w:val="00727645"/>
    <w:rsid w:val="00727A4B"/>
    <w:rsid w:val="00727B66"/>
    <w:rsid w:val="00731C7B"/>
    <w:rsid w:val="007328F5"/>
    <w:rsid w:val="00734EDB"/>
    <w:rsid w:val="00740459"/>
    <w:rsid w:val="00742B61"/>
    <w:rsid w:val="007438E7"/>
    <w:rsid w:val="00743CC9"/>
    <w:rsid w:val="00743DF0"/>
    <w:rsid w:val="00744AFC"/>
    <w:rsid w:val="00745201"/>
    <w:rsid w:val="00747AEC"/>
    <w:rsid w:val="0075024A"/>
    <w:rsid w:val="007559E0"/>
    <w:rsid w:val="00756E8C"/>
    <w:rsid w:val="00763A64"/>
    <w:rsid w:val="00763AE9"/>
    <w:rsid w:val="00764BAD"/>
    <w:rsid w:val="007659A0"/>
    <w:rsid w:val="00766102"/>
    <w:rsid w:val="007663D3"/>
    <w:rsid w:val="00766E5D"/>
    <w:rsid w:val="007702FD"/>
    <w:rsid w:val="00771FA2"/>
    <w:rsid w:val="00773EC2"/>
    <w:rsid w:val="00774A35"/>
    <w:rsid w:val="0077617D"/>
    <w:rsid w:val="00777554"/>
    <w:rsid w:val="00781990"/>
    <w:rsid w:val="00781BAD"/>
    <w:rsid w:val="00781D62"/>
    <w:rsid w:val="00781DB3"/>
    <w:rsid w:val="00786EEC"/>
    <w:rsid w:val="00787DCB"/>
    <w:rsid w:val="00787E67"/>
    <w:rsid w:val="00790548"/>
    <w:rsid w:val="007907C0"/>
    <w:rsid w:val="007917F2"/>
    <w:rsid w:val="00792C22"/>
    <w:rsid w:val="007931CA"/>
    <w:rsid w:val="00797374"/>
    <w:rsid w:val="00797680"/>
    <w:rsid w:val="007A06EF"/>
    <w:rsid w:val="007A16BA"/>
    <w:rsid w:val="007A33FC"/>
    <w:rsid w:val="007A5FDB"/>
    <w:rsid w:val="007B005F"/>
    <w:rsid w:val="007B4915"/>
    <w:rsid w:val="007B51F8"/>
    <w:rsid w:val="007B5A22"/>
    <w:rsid w:val="007B7602"/>
    <w:rsid w:val="007B7BB6"/>
    <w:rsid w:val="007C08E8"/>
    <w:rsid w:val="007C6900"/>
    <w:rsid w:val="007D06AC"/>
    <w:rsid w:val="007D40F6"/>
    <w:rsid w:val="007D5C8C"/>
    <w:rsid w:val="007D5DE1"/>
    <w:rsid w:val="007D7C22"/>
    <w:rsid w:val="007E1ADA"/>
    <w:rsid w:val="007E2257"/>
    <w:rsid w:val="007E433F"/>
    <w:rsid w:val="007E754F"/>
    <w:rsid w:val="007E77D3"/>
    <w:rsid w:val="007F05CA"/>
    <w:rsid w:val="007F1436"/>
    <w:rsid w:val="007F1F42"/>
    <w:rsid w:val="007F2C3C"/>
    <w:rsid w:val="007F4652"/>
    <w:rsid w:val="007F4FCA"/>
    <w:rsid w:val="007F61A0"/>
    <w:rsid w:val="007F7A50"/>
    <w:rsid w:val="007F7E33"/>
    <w:rsid w:val="00800B16"/>
    <w:rsid w:val="00800DF1"/>
    <w:rsid w:val="008012E8"/>
    <w:rsid w:val="00801748"/>
    <w:rsid w:val="00803655"/>
    <w:rsid w:val="0080401C"/>
    <w:rsid w:val="0080528D"/>
    <w:rsid w:val="00806BFE"/>
    <w:rsid w:val="0081030A"/>
    <w:rsid w:val="008134AB"/>
    <w:rsid w:val="00815E01"/>
    <w:rsid w:val="0081677A"/>
    <w:rsid w:val="00816C0B"/>
    <w:rsid w:val="00824AFD"/>
    <w:rsid w:val="008258DA"/>
    <w:rsid w:val="00830939"/>
    <w:rsid w:val="00830D53"/>
    <w:rsid w:val="0083193C"/>
    <w:rsid w:val="00831F96"/>
    <w:rsid w:val="0083299B"/>
    <w:rsid w:val="0083381E"/>
    <w:rsid w:val="00833D3E"/>
    <w:rsid w:val="008352F3"/>
    <w:rsid w:val="0083652C"/>
    <w:rsid w:val="00842B61"/>
    <w:rsid w:val="00842E48"/>
    <w:rsid w:val="008435D6"/>
    <w:rsid w:val="00843FB2"/>
    <w:rsid w:val="00850AF9"/>
    <w:rsid w:val="00852824"/>
    <w:rsid w:val="00852EE3"/>
    <w:rsid w:val="008554DA"/>
    <w:rsid w:val="00856490"/>
    <w:rsid w:val="00856770"/>
    <w:rsid w:val="00856BC6"/>
    <w:rsid w:val="008615F0"/>
    <w:rsid w:val="00862095"/>
    <w:rsid w:val="008620FF"/>
    <w:rsid w:val="0086210D"/>
    <w:rsid w:val="00862B7F"/>
    <w:rsid w:val="00862E3F"/>
    <w:rsid w:val="00863752"/>
    <w:rsid w:val="00863F3B"/>
    <w:rsid w:val="0086583F"/>
    <w:rsid w:val="00866347"/>
    <w:rsid w:val="00870C9C"/>
    <w:rsid w:val="008762FB"/>
    <w:rsid w:val="0087635E"/>
    <w:rsid w:val="00876E18"/>
    <w:rsid w:val="008811EF"/>
    <w:rsid w:val="008821A4"/>
    <w:rsid w:val="00884F4F"/>
    <w:rsid w:val="00891194"/>
    <w:rsid w:val="0089147B"/>
    <w:rsid w:val="00892C99"/>
    <w:rsid w:val="008931EC"/>
    <w:rsid w:val="00893883"/>
    <w:rsid w:val="00896213"/>
    <w:rsid w:val="008A1632"/>
    <w:rsid w:val="008A299D"/>
    <w:rsid w:val="008A32B4"/>
    <w:rsid w:val="008A52E8"/>
    <w:rsid w:val="008A667D"/>
    <w:rsid w:val="008A6A55"/>
    <w:rsid w:val="008A76C8"/>
    <w:rsid w:val="008A7794"/>
    <w:rsid w:val="008B0017"/>
    <w:rsid w:val="008B08E7"/>
    <w:rsid w:val="008B32D2"/>
    <w:rsid w:val="008B448E"/>
    <w:rsid w:val="008B5BFC"/>
    <w:rsid w:val="008B5C43"/>
    <w:rsid w:val="008B652B"/>
    <w:rsid w:val="008B7D27"/>
    <w:rsid w:val="008C3242"/>
    <w:rsid w:val="008C33E6"/>
    <w:rsid w:val="008C347C"/>
    <w:rsid w:val="008C5350"/>
    <w:rsid w:val="008C5A2A"/>
    <w:rsid w:val="008C688C"/>
    <w:rsid w:val="008C7756"/>
    <w:rsid w:val="008C7D44"/>
    <w:rsid w:val="008D0A29"/>
    <w:rsid w:val="008D10A3"/>
    <w:rsid w:val="008D10D3"/>
    <w:rsid w:val="008D26C8"/>
    <w:rsid w:val="008D44B1"/>
    <w:rsid w:val="008D502B"/>
    <w:rsid w:val="008D579D"/>
    <w:rsid w:val="008D6F9B"/>
    <w:rsid w:val="008E0831"/>
    <w:rsid w:val="008E1607"/>
    <w:rsid w:val="008E3D6A"/>
    <w:rsid w:val="008E4F5F"/>
    <w:rsid w:val="008E54C1"/>
    <w:rsid w:val="008E5BF3"/>
    <w:rsid w:val="008E613E"/>
    <w:rsid w:val="008E66F2"/>
    <w:rsid w:val="008E6AE4"/>
    <w:rsid w:val="008E765D"/>
    <w:rsid w:val="008F364D"/>
    <w:rsid w:val="008F4583"/>
    <w:rsid w:val="0090006E"/>
    <w:rsid w:val="00900917"/>
    <w:rsid w:val="00903184"/>
    <w:rsid w:val="00904372"/>
    <w:rsid w:val="0090484C"/>
    <w:rsid w:val="00904988"/>
    <w:rsid w:val="00905E2B"/>
    <w:rsid w:val="0090656E"/>
    <w:rsid w:val="00906680"/>
    <w:rsid w:val="00912971"/>
    <w:rsid w:val="00913B5D"/>
    <w:rsid w:val="00913C1C"/>
    <w:rsid w:val="009147EC"/>
    <w:rsid w:val="00914DA4"/>
    <w:rsid w:val="00916D3C"/>
    <w:rsid w:val="00916EF5"/>
    <w:rsid w:val="009213DC"/>
    <w:rsid w:val="00922B4C"/>
    <w:rsid w:val="00923918"/>
    <w:rsid w:val="0092408D"/>
    <w:rsid w:val="0092562D"/>
    <w:rsid w:val="00926541"/>
    <w:rsid w:val="00927FD3"/>
    <w:rsid w:val="00932C89"/>
    <w:rsid w:val="00933303"/>
    <w:rsid w:val="00934541"/>
    <w:rsid w:val="009345B6"/>
    <w:rsid w:val="00941B2E"/>
    <w:rsid w:val="00943285"/>
    <w:rsid w:val="00944E53"/>
    <w:rsid w:val="00950D08"/>
    <w:rsid w:val="0095341D"/>
    <w:rsid w:val="00954248"/>
    <w:rsid w:val="00956723"/>
    <w:rsid w:val="009567B1"/>
    <w:rsid w:val="00956AA2"/>
    <w:rsid w:val="00957090"/>
    <w:rsid w:val="00957414"/>
    <w:rsid w:val="00960072"/>
    <w:rsid w:val="0096244E"/>
    <w:rsid w:val="00962AFC"/>
    <w:rsid w:val="009630DA"/>
    <w:rsid w:val="00966C43"/>
    <w:rsid w:val="00967A15"/>
    <w:rsid w:val="00967ACB"/>
    <w:rsid w:val="009701B2"/>
    <w:rsid w:val="00971F24"/>
    <w:rsid w:val="00973EE8"/>
    <w:rsid w:val="00974740"/>
    <w:rsid w:val="00976809"/>
    <w:rsid w:val="00976F3F"/>
    <w:rsid w:val="00980CAD"/>
    <w:rsid w:val="00981B9D"/>
    <w:rsid w:val="00983A13"/>
    <w:rsid w:val="009852F9"/>
    <w:rsid w:val="009868E1"/>
    <w:rsid w:val="00993192"/>
    <w:rsid w:val="00996292"/>
    <w:rsid w:val="0099669F"/>
    <w:rsid w:val="009968BA"/>
    <w:rsid w:val="009A185B"/>
    <w:rsid w:val="009A27E7"/>
    <w:rsid w:val="009A2975"/>
    <w:rsid w:val="009A7762"/>
    <w:rsid w:val="009A7903"/>
    <w:rsid w:val="009B0AAB"/>
    <w:rsid w:val="009B143B"/>
    <w:rsid w:val="009B2EC3"/>
    <w:rsid w:val="009B516D"/>
    <w:rsid w:val="009B55A5"/>
    <w:rsid w:val="009C15D3"/>
    <w:rsid w:val="009C231A"/>
    <w:rsid w:val="009C4032"/>
    <w:rsid w:val="009C467B"/>
    <w:rsid w:val="009C60EE"/>
    <w:rsid w:val="009C7E64"/>
    <w:rsid w:val="009D1AB2"/>
    <w:rsid w:val="009D2360"/>
    <w:rsid w:val="009D3562"/>
    <w:rsid w:val="009D35C9"/>
    <w:rsid w:val="009D4CB0"/>
    <w:rsid w:val="009D4F89"/>
    <w:rsid w:val="009D5767"/>
    <w:rsid w:val="009D62D0"/>
    <w:rsid w:val="009D6689"/>
    <w:rsid w:val="009D7E9C"/>
    <w:rsid w:val="009E0068"/>
    <w:rsid w:val="009E2539"/>
    <w:rsid w:val="009E28DE"/>
    <w:rsid w:val="009F0611"/>
    <w:rsid w:val="009F0FB5"/>
    <w:rsid w:val="009F166A"/>
    <w:rsid w:val="009F25EA"/>
    <w:rsid w:val="009F2C9E"/>
    <w:rsid w:val="009F2D42"/>
    <w:rsid w:val="009F3015"/>
    <w:rsid w:val="009F4BD1"/>
    <w:rsid w:val="009F4C85"/>
    <w:rsid w:val="009F578C"/>
    <w:rsid w:val="009F6B91"/>
    <w:rsid w:val="009F712F"/>
    <w:rsid w:val="009F7AE5"/>
    <w:rsid w:val="00A0124C"/>
    <w:rsid w:val="00A020E7"/>
    <w:rsid w:val="00A02DBF"/>
    <w:rsid w:val="00A03A26"/>
    <w:rsid w:val="00A03F69"/>
    <w:rsid w:val="00A05F0D"/>
    <w:rsid w:val="00A06A53"/>
    <w:rsid w:val="00A07589"/>
    <w:rsid w:val="00A07B36"/>
    <w:rsid w:val="00A10C73"/>
    <w:rsid w:val="00A10CD3"/>
    <w:rsid w:val="00A117F6"/>
    <w:rsid w:val="00A11CAF"/>
    <w:rsid w:val="00A11F7E"/>
    <w:rsid w:val="00A12143"/>
    <w:rsid w:val="00A1443C"/>
    <w:rsid w:val="00A1452E"/>
    <w:rsid w:val="00A16A44"/>
    <w:rsid w:val="00A16F1F"/>
    <w:rsid w:val="00A20B9F"/>
    <w:rsid w:val="00A218FD"/>
    <w:rsid w:val="00A2190D"/>
    <w:rsid w:val="00A2290C"/>
    <w:rsid w:val="00A22CDC"/>
    <w:rsid w:val="00A26A37"/>
    <w:rsid w:val="00A33035"/>
    <w:rsid w:val="00A337C5"/>
    <w:rsid w:val="00A34E26"/>
    <w:rsid w:val="00A361C1"/>
    <w:rsid w:val="00A365FA"/>
    <w:rsid w:val="00A41708"/>
    <w:rsid w:val="00A42D70"/>
    <w:rsid w:val="00A433DE"/>
    <w:rsid w:val="00A47C0A"/>
    <w:rsid w:val="00A50D3D"/>
    <w:rsid w:val="00A5176C"/>
    <w:rsid w:val="00A518B8"/>
    <w:rsid w:val="00A52D4B"/>
    <w:rsid w:val="00A552DF"/>
    <w:rsid w:val="00A557E2"/>
    <w:rsid w:val="00A56707"/>
    <w:rsid w:val="00A56920"/>
    <w:rsid w:val="00A57819"/>
    <w:rsid w:val="00A60994"/>
    <w:rsid w:val="00A609BE"/>
    <w:rsid w:val="00A63E7E"/>
    <w:rsid w:val="00A640CC"/>
    <w:rsid w:val="00A6491D"/>
    <w:rsid w:val="00A7014D"/>
    <w:rsid w:val="00A7048D"/>
    <w:rsid w:val="00A70D8B"/>
    <w:rsid w:val="00A720B3"/>
    <w:rsid w:val="00A72A5D"/>
    <w:rsid w:val="00A74972"/>
    <w:rsid w:val="00A74C27"/>
    <w:rsid w:val="00A758AB"/>
    <w:rsid w:val="00A767FD"/>
    <w:rsid w:val="00A771AA"/>
    <w:rsid w:val="00A8053E"/>
    <w:rsid w:val="00A8254F"/>
    <w:rsid w:val="00A8410A"/>
    <w:rsid w:val="00A850F8"/>
    <w:rsid w:val="00A852F1"/>
    <w:rsid w:val="00A863EA"/>
    <w:rsid w:val="00A86706"/>
    <w:rsid w:val="00A8672D"/>
    <w:rsid w:val="00A86926"/>
    <w:rsid w:val="00A86E7D"/>
    <w:rsid w:val="00A920B5"/>
    <w:rsid w:val="00A92987"/>
    <w:rsid w:val="00A93F62"/>
    <w:rsid w:val="00A9444C"/>
    <w:rsid w:val="00A94747"/>
    <w:rsid w:val="00A9515B"/>
    <w:rsid w:val="00A96455"/>
    <w:rsid w:val="00A96850"/>
    <w:rsid w:val="00A97E22"/>
    <w:rsid w:val="00A97F23"/>
    <w:rsid w:val="00AA2808"/>
    <w:rsid w:val="00AA5F38"/>
    <w:rsid w:val="00AA671A"/>
    <w:rsid w:val="00AA7F56"/>
    <w:rsid w:val="00AB0644"/>
    <w:rsid w:val="00AB1261"/>
    <w:rsid w:val="00AB1B32"/>
    <w:rsid w:val="00AB3B21"/>
    <w:rsid w:val="00AB6A38"/>
    <w:rsid w:val="00AB70FE"/>
    <w:rsid w:val="00AB7130"/>
    <w:rsid w:val="00AC14E6"/>
    <w:rsid w:val="00AC1F06"/>
    <w:rsid w:val="00AC20BE"/>
    <w:rsid w:val="00AC4467"/>
    <w:rsid w:val="00AC4FB9"/>
    <w:rsid w:val="00AC7155"/>
    <w:rsid w:val="00AD1E3D"/>
    <w:rsid w:val="00AD39FC"/>
    <w:rsid w:val="00AE0AA9"/>
    <w:rsid w:val="00AE3F66"/>
    <w:rsid w:val="00AE54DF"/>
    <w:rsid w:val="00AE6A48"/>
    <w:rsid w:val="00AE77B9"/>
    <w:rsid w:val="00AE78B1"/>
    <w:rsid w:val="00AE7FE5"/>
    <w:rsid w:val="00AF0795"/>
    <w:rsid w:val="00AF1B23"/>
    <w:rsid w:val="00AF36E9"/>
    <w:rsid w:val="00AF64F8"/>
    <w:rsid w:val="00AF6E6B"/>
    <w:rsid w:val="00B02A00"/>
    <w:rsid w:val="00B02DA9"/>
    <w:rsid w:val="00B0553C"/>
    <w:rsid w:val="00B05C70"/>
    <w:rsid w:val="00B124CE"/>
    <w:rsid w:val="00B12CDB"/>
    <w:rsid w:val="00B1311D"/>
    <w:rsid w:val="00B13362"/>
    <w:rsid w:val="00B14B6F"/>
    <w:rsid w:val="00B176B3"/>
    <w:rsid w:val="00B17737"/>
    <w:rsid w:val="00B17890"/>
    <w:rsid w:val="00B21F06"/>
    <w:rsid w:val="00B22171"/>
    <w:rsid w:val="00B22A79"/>
    <w:rsid w:val="00B249C6"/>
    <w:rsid w:val="00B24BCF"/>
    <w:rsid w:val="00B24F77"/>
    <w:rsid w:val="00B25AF8"/>
    <w:rsid w:val="00B25D7E"/>
    <w:rsid w:val="00B27F05"/>
    <w:rsid w:val="00B31E43"/>
    <w:rsid w:val="00B31FAA"/>
    <w:rsid w:val="00B32BC4"/>
    <w:rsid w:val="00B34291"/>
    <w:rsid w:val="00B34997"/>
    <w:rsid w:val="00B34F95"/>
    <w:rsid w:val="00B36200"/>
    <w:rsid w:val="00B36AB0"/>
    <w:rsid w:val="00B40E80"/>
    <w:rsid w:val="00B41EEB"/>
    <w:rsid w:val="00B42354"/>
    <w:rsid w:val="00B428D8"/>
    <w:rsid w:val="00B467A1"/>
    <w:rsid w:val="00B527BC"/>
    <w:rsid w:val="00B538D3"/>
    <w:rsid w:val="00B55AFD"/>
    <w:rsid w:val="00B56E4F"/>
    <w:rsid w:val="00B57F40"/>
    <w:rsid w:val="00B60A54"/>
    <w:rsid w:val="00B63375"/>
    <w:rsid w:val="00B64BCF"/>
    <w:rsid w:val="00B66C27"/>
    <w:rsid w:val="00B67CE2"/>
    <w:rsid w:val="00B70100"/>
    <w:rsid w:val="00B704DF"/>
    <w:rsid w:val="00B71897"/>
    <w:rsid w:val="00B72B8D"/>
    <w:rsid w:val="00B7682A"/>
    <w:rsid w:val="00B76EF0"/>
    <w:rsid w:val="00B77DA3"/>
    <w:rsid w:val="00B81A3E"/>
    <w:rsid w:val="00B82BD0"/>
    <w:rsid w:val="00B8561B"/>
    <w:rsid w:val="00B87723"/>
    <w:rsid w:val="00B914CD"/>
    <w:rsid w:val="00B95D71"/>
    <w:rsid w:val="00B97D52"/>
    <w:rsid w:val="00BA0305"/>
    <w:rsid w:val="00BA03AB"/>
    <w:rsid w:val="00BA05E7"/>
    <w:rsid w:val="00BA21B3"/>
    <w:rsid w:val="00BA2456"/>
    <w:rsid w:val="00BA2533"/>
    <w:rsid w:val="00BA2A5B"/>
    <w:rsid w:val="00BA398D"/>
    <w:rsid w:val="00BA6091"/>
    <w:rsid w:val="00BA6780"/>
    <w:rsid w:val="00BB021E"/>
    <w:rsid w:val="00BB0986"/>
    <w:rsid w:val="00BB1D2F"/>
    <w:rsid w:val="00BB4C27"/>
    <w:rsid w:val="00BB4EEB"/>
    <w:rsid w:val="00BB51A5"/>
    <w:rsid w:val="00BB5C69"/>
    <w:rsid w:val="00BC129C"/>
    <w:rsid w:val="00BC4CD6"/>
    <w:rsid w:val="00BC5871"/>
    <w:rsid w:val="00BC6302"/>
    <w:rsid w:val="00BC6368"/>
    <w:rsid w:val="00BC7B20"/>
    <w:rsid w:val="00BC7F9C"/>
    <w:rsid w:val="00BD0EF2"/>
    <w:rsid w:val="00BD1440"/>
    <w:rsid w:val="00BD1758"/>
    <w:rsid w:val="00BD4A92"/>
    <w:rsid w:val="00BD6519"/>
    <w:rsid w:val="00BD6707"/>
    <w:rsid w:val="00BD73FD"/>
    <w:rsid w:val="00BE1827"/>
    <w:rsid w:val="00BE2E3D"/>
    <w:rsid w:val="00BE376D"/>
    <w:rsid w:val="00BE3F86"/>
    <w:rsid w:val="00BE5078"/>
    <w:rsid w:val="00BE5157"/>
    <w:rsid w:val="00BE64F8"/>
    <w:rsid w:val="00BE694D"/>
    <w:rsid w:val="00BF310F"/>
    <w:rsid w:val="00BF3690"/>
    <w:rsid w:val="00BF3CCC"/>
    <w:rsid w:val="00BF4A46"/>
    <w:rsid w:val="00BF706A"/>
    <w:rsid w:val="00BF71AA"/>
    <w:rsid w:val="00C000E4"/>
    <w:rsid w:val="00C0625C"/>
    <w:rsid w:val="00C071C1"/>
    <w:rsid w:val="00C101CC"/>
    <w:rsid w:val="00C1386D"/>
    <w:rsid w:val="00C13A3A"/>
    <w:rsid w:val="00C13E31"/>
    <w:rsid w:val="00C15586"/>
    <w:rsid w:val="00C2396B"/>
    <w:rsid w:val="00C242AB"/>
    <w:rsid w:val="00C24615"/>
    <w:rsid w:val="00C25CA4"/>
    <w:rsid w:val="00C316BD"/>
    <w:rsid w:val="00C35430"/>
    <w:rsid w:val="00C35D4B"/>
    <w:rsid w:val="00C366F5"/>
    <w:rsid w:val="00C426DB"/>
    <w:rsid w:val="00C43602"/>
    <w:rsid w:val="00C44959"/>
    <w:rsid w:val="00C45932"/>
    <w:rsid w:val="00C45CB0"/>
    <w:rsid w:val="00C46FD2"/>
    <w:rsid w:val="00C511AE"/>
    <w:rsid w:val="00C521AB"/>
    <w:rsid w:val="00C5359F"/>
    <w:rsid w:val="00C5406A"/>
    <w:rsid w:val="00C54DE9"/>
    <w:rsid w:val="00C55A6B"/>
    <w:rsid w:val="00C60B06"/>
    <w:rsid w:val="00C60DBB"/>
    <w:rsid w:val="00C65AFE"/>
    <w:rsid w:val="00C67E36"/>
    <w:rsid w:val="00C703E4"/>
    <w:rsid w:val="00C72289"/>
    <w:rsid w:val="00C76817"/>
    <w:rsid w:val="00C808B6"/>
    <w:rsid w:val="00C820A4"/>
    <w:rsid w:val="00C8656F"/>
    <w:rsid w:val="00C86B5A"/>
    <w:rsid w:val="00C876AB"/>
    <w:rsid w:val="00C92914"/>
    <w:rsid w:val="00C92D9B"/>
    <w:rsid w:val="00CA0041"/>
    <w:rsid w:val="00CA03CB"/>
    <w:rsid w:val="00CA1659"/>
    <w:rsid w:val="00CA20A3"/>
    <w:rsid w:val="00CA2C47"/>
    <w:rsid w:val="00CA3B79"/>
    <w:rsid w:val="00CA3C91"/>
    <w:rsid w:val="00CA53FE"/>
    <w:rsid w:val="00CA5553"/>
    <w:rsid w:val="00CB110D"/>
    <w:rsid w:val="00CB518A"/>
    <w:rsid w:val="00CC0698"/>
    <w:rsid w:val="00CC17DE"/>
    <w:rsid w:val="00CC1A6A"/>
    <w:rsid w:val="00CC215D"/>
    <w:rsid w:val="00CC40DF"/>
    <w:rsid w:val="00CC7262"/>
    <w:rsid w:val="00CC73C8"/>
    <w:rsid w:val="00CD04BB"/>
    <w:rsid w:val="00CD1092"/>
    <w:rsid w:val="00CD192F"/>
    <w:rsid w:val="00CD36DD"/>
    <w:rsid w:val="00CD4B6A"/>
    <w:rsid w:val="00CD6467"/>
    <w:rsid w:val="00CD6F0C"/>
    <w:rsid w:val="00CD70EA"/>
    <w:rsid w:val="00CE0B31"/>
    <w:rsid w:val="00CE2CCD"/>
    <w:rsid w:val="00CE2FFB"/>
    <w:rsid w:val="00CE5B1D"/>
    <w:rsid w:val="00CF0097"/>
    <w:rsid w:val="00CF1710"/>
    <w:rsid w:val="00CF2A2E"/>
    <w:rsid w:val="00CF309B"/>
    <w:rsid w:val="00CF32E5"/>
    <w:rsid w:val="00CF78A9"/>
    <w:rsid w:val="00D01029"/>
    <w:rsid w:val="00D01AE0"/>
    <w:rsid w:val="00D04CAD"/>
    <w:rsid w:val="00D0514F"/>
    <w:rsid w:val="00D05DDA"/>
    <w:rsid w:val="00D11EE1"/>
    <w:rsid w:val="00D1339F"/>
    <w:rsid w:val="00D1586F"/>
    <w:rsid w:val="00D1738B"/>
    <w:rsid w:val="00D25100"/>
    <w:rsid w:val="00D340C3"/>
    <w:rsid w:val="00D361E0"/>
    <w:rsid w:val="00D36EDB"/>
    <w:rsid w:val="00D373EB"/>
    <w:rsid w:val="00D409DE"/>
    <w:rsid w:val="00D41439"/>
    <w:rsid w:val="00D43AF6"/>
    <w:rsid w:val="00D44AD5"/>
    <w:rsid w:val="00D466C0"/>
    <w:rsid w:val="00D47A33"/>
    <w:rsid w:val="00D53D94"/>
    <w:rsid w:val="00D60DC1"/>
    <w:rsid w:val="00D61ED5"/>
    <w:rsid w:val="00D639B3"/>
    <w:rsid w:val="00D640E9"/>
    <w:rsid w:val="00D6629C"/>
    <w:rsid w:val="00D6673B"/>
    <w:rsid w:val="00D66869"/>
    <w:rsid w:val="00D66D5F"/>
    <w:rsid w:val="00D6759F"/>
    <w:rsid w:val="00D71FC7"/>
    <w:rsid w:val="00D73031"/>
    <w:rsid w:val="00D73DAC"/>
    <w:rsid w:val="00D74303"/>
    <w:rsid w:val="00D74751"/>
    <w:rsid w:val="00D7640C"/>
    <w:rsid w:val="00D77721"/>
    <w:rsid w:val="00D81581"/>
    <w:rsid w:val="00D8217C"/>
    <w:rsid w:val="00D83F3F"/>
    <w:rsid w:val="00D868FA"/>
    <w:rsid w:val="00D90809"/>
    <w:rsid w:val="00D90F83"/>
    <w:rsid w:val="00D91271"/>
    <w:rsid w:val="00D92EB5"/>
    <w:rsid w:val="00D95929"/>
    <w:rsid w:val="00D968C4"/>
    <w:rsid w:val="00D96914"/>
    <w:rsid w:val="00D9775A"/>
    <w:rsid w:val="00DA1E4E"/>
    <w:rsid w:val="00DA2770"/>
    <w:rsid w:val="00DA3897"/>
    <w:rsid w:val="00DA63F9"/>
    <w:rsid w:val="00DA76AF"/>
    <w:rsid w:val="00DB0644"/>
    <w:rsid w:val="00DB1578"/>
    <w:rsid w:val="00DB1814"/>
    <w:rsid w:val="00DB220A"/>
    <w:rsid w:val="00DB32AF"/>
    <w:rsid w:val="00DB4BAE"/>
    <w:rsid w:val="00DB558C"/>
    <w:rsid w:val="00DB65A4"/>
    <w:rsid w:val="00DB692C"/>
    <w:rsid w:val="00DB7BF0"/>
    <w:rsid w:val="00DC4D24"/>
    <w:rsid w:val="00DC5313"/>
    <w:rsid w:val="00DC5557"/>
    <w:rsid w:val="00DC58D5"/>
    <w:rsid w:val="00DC7C47"/>
    <w:rsid w:val="00DC7D80"/>
    <w:rsid w:val="00DC7E3D"/>
    <w:rsid w:val="00DD0E34"/>
    <w:rsid w:val="00DD4B43"/>
    <w:rsid w:val="00DD5B44"/>
    <w:rsid w:val="00DE04F6"/>
    <w:rsid w:val="00DE0CD4"/>
    <w:rsid w:val="00DE2EC7"/>
    <w:rsid w:val="00DE3FD2"/>
    <w:rsid w:val="00DE406B"/>
    <w:rsid w:val="00DE5D32"/>
    <w:rsid w:val="00DE608D"/>
    <w:rsid w:val="00DE68EA"/>
    <w:rsid w:val="00DE73E2"/>
    <w:rsid w:val="00DF0247"/>
    <w:rsid w:val="00DF0F64"/>
    <w:rsid w:val="00DF1863"/>
    <w:rsid w:val="00DF3136"/>
    <w:rsid w:val="00DF4DB4"/>
    <w:rsid w:val="00DF727A"/>
    <w:rsid w:val="00E00D5B"/>
    <w:rsid w:val="00E046D8"/>
    <w:rsid w:val="00E049CE"/>
    <w:rsid w:val="00E06536"/>
    <w:rsid w:val="00E06CDF"/>
    <w:rsid w:val="00E1026B"/>
    <w:rsid w:val="00E107AC"/>
    <w:rsid w:val="00E11438"/>
    <w:rsid w:val="00E12796"/>
    <w:rsid w:val="00E13B16"/>
    <w:rsid w:val="00E14680"/>
    <w:rsid w:val="00E14955"/>
    <w:rsid w:val="00E15D5B"/>
    <w:rsid w:val="00E16192"/>
    <w:rsid w:val="00E202CF"/>
    <w:rsid w:val="00E2122F"/>
    <w:rsid w:val="00E2338B"/>
    <w:rsid w:val="00E2478C"/>
    <w:rsid w:val="00E25038"/>
    <w:rsid w:val="00E269ED"/>
    <w:rsid w:val="00E26D9E"/>
    <w:rsid w:val="00E3170A"/>
    <w:rsid w:val="00E35984"/>
    <w:rsid w:val="00E41874"/>
    <w:rsid w:val="00E419D5"/>
    <w:rsid w:val="00E41E1D"/>
    <w:rsid w:val="00E42BDB"/>
    <w:rsid w:val="00E4473C"/>
    <w:rsid w:val="00E44F35"/>
    <w:rsid w:val="00E45094"/>
    <w:rsid w:val="00E45EE4"/>
    <w:rsid w:val="00E50631"/>
    <w:rsid w:val="00E50A27"/>
    <w:rsid w:val="00E51340"/>
    <w:rsid w:val="00E53FC9"/>
    <w:rsid w:val="00E574F7"/>
    <w:rsid w:val="00E57884"/>
    <w:rsid w:val="00E578A6"/>
    <w:rsid w:val="00E600A3"/>
    <w:rsid w:val="00E60388"/>
    <w:rsid w:val="00E60D33"/>
    <w:rsid w:val="00E60E45"/>
    <w:rsid w:val="00E6199D"/>
    <w:rsid w:val="00E63F3D"/>
    <w:rsid w:val="00E65600"/>
    <w:rsid w:val="00E67268"/>
    <w:rsid w:val="00E6732E"/>
    <w:rsid w:val="00E708B1"/>
    <w:rsid w:val="00E720C9"/>
    <w:rsid w:val="00E721AC"/>
    <w:rsid w:val="00E73358"/>
    <w:rsid w:val="00E737CA"/>
    <w:rsid w:val="00E73936"/>
    <w:rsid w:val="00E75997"/>
    <w:rsid w:val="00E812B7"/>
    <w:rsid w:val="00E814DE"/>
    <w:rsid w:val="00E82E02"/>
    <w:rsid w:val="00E832B8"/>
    <w:rsid w:val="00E85D3D"/>
    <w:rsid w:val="00E86782"/>
    <w:rsid w:val="00E86F91"/>
    <w:rsid w:val="00E87F6B"/>
    <w:rsid w:val="00E9544C"/>
    <w:rsid w:val="00E9773D"/>
    <w:rsid w:val="00E97A0E"/>
    <w:rsid w:val="00EA0868"/>
    <w:rsid w:val="00EA1068"/>
    <w:rsid w:val="00EA19B4"/>
    <w:rsid w:val="00EA5A5D"/>
    <w:rsid w:val="00EA698B"/>
    <w:rsid w:val="00EA6BCD"/>
    <w:rsid w:val="00EB0F6D"/>
    <w:rsid w:val="00EB1F6A"/>
    <w:rsid w:val="00EB26BB"/>
    <w:rsid w:val="00EB4E1B"/>
    <w:rsid w:val="00EB5596"/>
    <w:rsid w:val="00EB6544"/>
    <w:rsid w:val="00EB6FF3"/>
    <w:rsid w:val="00EB7BD0"/>
    <w:rsid w:val="00EB7EA5"/>
    <w:rsid w:val="00EC06B1"/>
    <w:rsid w:val="00EC0C40"/>
    <w:rsid w:val="00EC2531"/>
    <w:rsid w:val="00EC3448"/>
    <w:rsid w:val="00EC4E78"/>
    <w:rsid w:val="00EC6928"/>
    <w:rsid w:val="00EC6B54"/>
    <w:rsid w:val="00EC7334"/>
    <w:rsid w:val="00EC739E"/>
    <w:rsid w:val="00EC7CEA"/>
    <w:rsid w:val="00ED07F6"/>
    <w:rsid w:val="00ED114A"/>
    <w:rsid w:val="00ED3A8C"/>
    <w:rsid w:val="00ED47AE"/>
    <w:rsid w:val="00ED4B86"/>
    <w:rsid w:val="00ED68EB"/>
    <w:rsid w:val="00EE0059"/>
    <w:rsid w:val="00EE21F7"/>
    <w:rsid w:val="00EE26A1"/>
    <w:rsid w:val="00EE67F2"/>
    <w:rsid w:val="00EE6A01"/>
    <w:rsid w:val="00EF1B52"/>
    <w:rsid w:val="00EF5891"/>
    <w:rsid w:val="00EF59F4"/>
    <w:rsid w:val="00EF7B06"/>
    <w:rsid w:val="00F01C80"/>
    <w:rsid w:val="00F029F8"/>
    <w:rsid w:val="00F02A41"/>
    <w:rsid w:val="00F062D6"/>
    <w:rsid w:val="00F06E48"/>
    <w:rsid w:val="00F10693"/>
    <w:rsid w:val="00F168E8"/>
    <w:rsid w:val="00F22B2C"/>
    <w:rsid w:val="00F23833"/>
    <w:rsid w:val="00F245C9"/>
    <w:rsid w:val="00F2463F"/>
    <w:rsid w:val="00F310D8"/>
    <w:rsid w:val="00F32A54"/>
    <w:rsid w:val="00F32ABC"/>
    <w:rsid w:val="00F32C7E"/>
    <w:rsid w:val="00F34D7C"/>
    <w:rsid w:val="00F35665"/>
    <w:rsid w:val="00F36415"/>
    <w:rsid w:val="00F40BA4"/>
    <w:rsid w:val="00F41C89"/>
    <w:rsid w:val="00F43349"/>
    <w:rsid w:val="00F446C8"/>
    <w:rsid w:val="00F44830"/>
    <w:rsid w:val="00F45295"/>
    <w:rsid w:val="00F50641"/>
    <w:rsid w:val="00F51843"/>
    <w:rsid w:val="00F526F2"/>
    <w:rsid w:val="00F544D0"/>
    <w:rsid w:val="00F5480A"/>
    <w:rsid w:val="00F57504"/>
    <w:rsid w:val="00F5762F"/>
    <w:rsid w:val="00F60206"/>
    <w:rsid w:val="00F6038C"/>
    <w:rsid w:val="00F60483"/>
    <w:rsid w:val="00F61D2B"/>
    <w:rsid w:val="00F62687"/>
    <w:rsid w:val="00F633B5"/>
    <w:rsid w:val="00F63C07"/>
    <w:rsid w:val="00F659F3"/>
    <w:rsid w:val="00F667C4"/>
    <w:rsid w:val="00F75648"/>
    <w:rsid w:val="00F766CD"/>
    <w:rsid w:val="00F817F1"/>
    <w:rsid w:val="00F81FEB"/>
    <w:rsid w:val="00F824AA"/>
    <w:rsid w:val="00F83425"/>
    <w:rsid w:val="00F83630"/>
    <w:rsid w:val="00F83856"/>
    <w:rsid w:val="00F84085"/>
    <w:rsid w:val="00F8461F"/>
    <w:rsid w:val="00F84FAE"/>
    <w:rsid w:val="00F85299"/>
    <w:rsid w:val="00F87C2E"/>
    <w:rsid w:val="00F92DC9"/>
    <w:rsid w:val="00F930D6"/>
    <w:rsid w:val="00F93F3D"/>
    <w:rsid w:val="00F9654C"/>
    <w:rsid w:val="00F97C16"/>
    <w:rsid w:val="00FA484A"/>
    <w:rsid w:val="00FA63EC"/>
    <w:rsid w:val="00FB0D9A"/>
    <w:rsid w:val="00FB1014"/>
    <w:rsid w:val="00FB1616"/>
    <w:rsid w:val="00FB257D"/>
    <w:rsid w:val="00FB32CF"/>
    <w:rsid w:val="00FB48B6"/>
    <w:rsid w:val="00FB4E78"/>
    <w:rsid w:val="00FB5529"/>
    <w:rsid w:val="00FC07F7"/>
    <w:rsid w:val="00FC2F91"/>
    <w:rsid w:val="00FC4FA9"/>
    <w:rsid w:val="00FC6618"/>
    <w:rsid w:val="00FC662F"/>
    <w:rsid w:val="00FC7693"/>
    <w:rsid w:val="00FC7D32"/>
    <w:rsid w:val="00FD04D8"/>
    <w:rsid w:val="00FD1036"/>
    <w:rsid w:val="00FD3EBA"/>
    <w:rsid w:val="00FD45D2"/>
    <w:rsid w:val="00FD47B4"/>
    <w:rsid w:val="00FD4DF4"/>
    <w:rsid w:val="00FD5E53"/>
    <w:rsid w:val="00FD71E1"/>
    <w:rsid w:val="00FD7734"/>
    <w:rsid w:val="00FE2F09"/>
    <w:rsid w:val="00FE3DC8"/>
    <w:rsid w:val="00FE6109"/>
    <w:rsid w:val="00FE7A3B"/>
    <w:rsid w:val="00FF3285"/>
    <w:rsid w:val="00FF356F"/>
    <w:rsid w:val="00FF37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DAA8D1"/>
  <w15:chartTrackingRefBased/>
  <w15:docId w15:val="{2FF57A3E-8E4E-44D6-9CA6-B3031807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CD"/>
    <w:pPr>
      <w:keepLines/>
    </w:pPr>
    <w:rPr>
      <w:rFonts w:ascii="Segoe UI" w:hAnsi="Segoe UI"/>
    </w:rPr>
  </w:style>
  <w:style w:type="paragraph" w:styleId="Heading1">
    <w:name w:val="heading 1"/>
    <w:basedOn w:val="Normal"/>
    <w:next w:val="Normal"/>
    <w:link w:val="Heading1Char"/>
    <w:uiPriority w:val="9"/>
    <w:qFormat/>
    <w:rsid w:val="00B914CD"/>
    <w:pPr>
      <w:keepNext/>
      <w:spacing w:before="240" w:after="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E6732E"/>
    <w:pPr>
      <w:keepNext/>
      <w:spacing w:before="40" w:after="0"/>
      <w:outlineLvl w:val="1"/>
    </w:pPr>
    <w:rPr>
      <w:rFonts w:eastAsiaTheme="majorEastAsia" w:cs="Segoe UI"/>
      <w:b/>
      <w:color w:val="5B315E" w:themeColor="accent2"/>
      <w:sz w:val="32"/>
      <w:szCs w:val="32"/>
    </w:rPr>
  </w:style>
  <w:style w:type="paragraph" w:styleId="Heading3">
    <w:name w:val="heading 3"/>
    <w:basedOn w:val="Normal"/>
    <w:next w:val="Normal"/>
    <w:link w:val="Heading3Char"/>
    <w:uiPriority w:val="9"/>
    <w:unhideWhenUsed/>
    <w:qFormat/>
    <w:rsid w:val="00EC7CEA"/>
    <w:pPr>
      <w:keepNext/>
      <w:spacing w:before="40" w:after="0"/>
      <w:outlineLvl w:val="2"/>
    </w:pPr>
    <w:rPr>
      <w:rFonts w:asciiTheme="majorHAnsi" w:eastAsiaTheme="majorEastAsia" w:hAnsiTheme="majorHAnsi" w:cstheme="majorBidi"/>
      <w:color w:val="6A002B" w:themeColor="accent1" w:themeShade="7F"/>
      <w:sz w:val="24"/>
      <w:szCs w:val="24"/>
    </w:rPr>
  </w:style>
  <w:style w:type="paragraph" w:styleId="Heading4">
    <w:name w:val="heading 4"/>
    <w:basedOn w:val="Normal"/>
    <w:next w:val="Normal"/>
    <w:link w:val="Heading4Char"/>
    <w:uiPriority w:val="9"/>
    <w:semiHidden/>
    <w:unhideWhenUsed/>
    <w:qFormat/>
    <w:rsid w:val="005F7D8D"/>
    <w:pPr>
      <w:keepNext/>
      <w:spacing w:before="40" w:after="0"/>
      <w:outlineLvl w:val="3"/>
    </w:pPr>
    <w:rPr>
      <w:rFonts w:asciiTheme="majorHAnsi" w:eastAsiaTheme="majorEastAsia" w:hAnsiTheme="majorHAnsi" w:cstheme="majorBidi"/>
      <w:i/>
      <w:iCs/>
      <w:color w:val="9F0040"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2E"/>
  </w:style>
  <w:style w:type="paragraph" w:styleId="Footer">
    <w:name w:val="footer"/>
    <w:basedOn w:val="Normal"/>
    <w:link w:val="FooterChar"/>
    <w:uiPriority w:val="99"/>
    <w:unhideWhenUsed/>
    <w:rsid w:val="00941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B2E"/>
  </w:style>
  <w:style w:type="paragraph" w:styleId="Title">
    <w:name w:val="Title"/>
    <w:basedOn w:val="Normal"/>
    <w:next w:val="Normal"/>
    <w:link w:val="TitleChar"/>
    <w:autoRedefine/>
    <w:uiPriority w:val="10"/>
    <w:qFormat/>
    <w:rsid w:val="00B914CD"/>
    <w:pPr>
      <w:spacing w:before="1200" w:after="240" w:line="1200" w:lineRule="exact"/>
      <w:contextualSpacing/>
    </w:pPr>
    <w:rPr>
      <w:rFonts w:ascii="Segoe UI Light" w:eastAsiaTheme="majorEastAsia" w:hAnsi="Segoe UI Light" w:cs="Segoe UI Light"/>
      <w:spacing w:val="-10"/>
      <w:kern w:val="28"/>
      <w:sz w:val="100"/>
      <w:szCs w:val="120"/>
    </w:rPr>
  </w:style>
  <w:style w:type="character" w:customStyle="1" w:styleId="TitleChar">
    <w:name w:val="Title Char"/>
    <w:basedOn w:val="DefaultParagraphFont"/>
    <w:link w:val="Title"/>
    <w:uiPriority w:val="10"/>
    <w:rsid w:val="00B914CD"/>
    <w:rPr>
      <w:rFonts w:ascii="Segoe UI Light" w:eastAsiaTheme="majorEastAsia" w:hAnsi="Segoe UI Light" w:cs="Segoe UI Light"/>
      <w:spacing w:val="-10"/>
      <w:kern w:val="28"/>
      <w:sz w:val="100"/>
      <w:szCs w:val="120"/>
    </w:rPr>
  </w:style>
  <w:style w:type="paragraph" w:styleId="Subtitle">
    <w:name w:val="Subtitle"/>
    <w:basedOn w:val="Normal"/>
    <w:next w:val="Normal"/>
    <w:link w:val="SubtitleChar"/>
    <w:uiPriority w:val="11"/>
    <w:qFormat/>
    <w:rsid w:val="00941B2E"/>
    <w:rPr>
      <w:rFonts w:ascii="Segoe UI Light" w:hAnsi="Segoe UI Light" w:cs="Segoe UI Light"/>
      <w:sz w:val="36"/>
      <w:szCs w:val="36"/>
    </w:rPr>
  </w:style>
  <w:style w:type="character" w:customStyle="1" w:styleId="SubtitleChar">
    <w:name w:val="Subtitle Char"/>
    <w:basedOn w:val="DefaultParagraphFont"/>
    <w:link w:val="Subtitle"/>
    <w:uiPriority w:val="11"/>
    <w:rsid w:val="00941B2E"/>
    <w:rPr>
      <w:rFonts w:ascii="Segoe UI Light" w:hAnsi="Segoe UI Light" w:cs="Segoe UI Light"/>
      <w:color w:val="54575A" w:themeColor="text1"/>
      <w:sz w:val="36"/>
      <w:szCs w:val="36"/>
      <w:lang w:val="fr-CA"/>
    </w:rPr>
  </w:style>
  <w:style w:type="character" w:customStyle="1" w:styleId="Heading1Char">
    <w:name w:val="Heading 1 Char"/>
    <w:basedOn w:val="DefaultParagraphFont"/>
    <w:link w:val="Heading1"/>
    <w:uiPriority w:val="9"/>
    <w:rsid w:val="00B914CD"/>
    <w:rPr>
      <w:rFonts w:asciiTheme="majorHAnsi" w:eastAsiaTheme="majorEastAsia" w:hAnsiTheme="majorHAnsi" w:cstheme="majorBidi"/>
      <w:sz w:val="48"/>
      <w:szCs w:val="48"/>
    </w:rPr>
  </w:style>
  <w:style w:type="character" w:customStyle="1" w:styleId="Heading2Char">
    <w:name w:val="Heading 2 Char"/>
    <w:basedOn w:val="DefaultParagraphFont"/>
    <w:link w:val="Heading2"/>
    <w:uiPriority w:val="9"/>
    <w:rsid w:val="00E6732E"/>
    <w:rPr>
      <w:rFonts w:ascii="Segoe UI" w:eastAsiaTheme="majorEastAsia" w:hAnsi="Segoe UI" w:cs="Segoe UI"/>
      <w:b/>
      <w:color w:val="5B315E" w:themeColor="accent2"/>
      <w:sz w:val="32"/>
      <w:szCs w:val="32"/>
    </w:rPr>
  </w:style>
  <w:style w:type="paragraph" w:styleId="ListParagraph">
    <w:name w:val="List Paragraph"/>
    <w:basedOn w:val="Normal"/>
    <w:uiPriority w:val="34"/>
    <w:qFormat/>
    <w:rsid w:val="00941B2E"/>
    <w:pPr>
      <w:spacing w:after="320"/>
      <w:contextualSpacing/>
    </w:pPr>
  </w:style>
  <w:style w:type="character" w:styleId="Hyperlink">
    <w:name w:val="Hyperlink"/>
    <w:basedOn w:val="DefaultParagraphFont"/>
    <w:uiPriority w:val="99"/>
    <w:unhideWhenUsed/>
    <w:rsid w:val="00941B2E"/>
    <w:rPr>
      <w:color w:val="5B315E" w:themeColor="accent2"/>
      <w:u w:val="single"/>
      <w:shd w:val="clear" w:color="auto" w:fill="auto"/>
    </w:rPr>
  </w:style>
  <w:style w:type="character" w:styleId="IntenseReference">
    <w:name w:val="Intense Reference"/>
    <w:basedOn w:val="DefaultParagraphFont"/>
    <w:uiPriority w:val="32"/>
    <w:qFormat/>
    <w:rsid w:val="000909D4"/>
    <w:rPr>
      <w:rFonts w:asciiTheme="minorHAnsi" w:hAnsiTheme="minorHAnsi"/>
      <w:b/>
      <w:bCs/>
      <w:caps w:val="0"/>
      <w:smallCaps/>
      <w:color w:val="D50057" w:themeColor="accent1"/>
      <w:spacing w:val="5"/>
      <w:sz w:val="22"/>
      <w:u w:val="single"/>
    </w:rPr>
  </w:style>
  <w:style w:type="paragraph" w:styleId="FootnoteText">
    <w:name w:val="footnote text"/>
    <w:basedOn w:val="Normal"/>
    <w:link w:val="FootnoteTextChar"/>
    <w:uiPriority w:val="99"/>
    <w:semiHidden/>
    <w:unhideWhenUsed/>
    <w:rsid w:val="001E6EA6"/>
    <w:pPr>
      <w:keepLines w:val="0"/>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E6EA6"/>
    <w:rPr>
      <w:rFonts w:ascii="Arial" w:hAnsi="Arial"/>
      <w:sz w:val="20"/>
      <w:szCs w:val="20"/>
    </w:rPr>
  </w:style>
  <w:style w:type="character" w:styleId="FootnoteReference">
    <w:name w:val="footnote reference"/>
    <w:basedOn w:val="DefaultParagraphFont"/>
    <w:uiPriority w:val="99"/>
    <w:semiHidden/>
    <w:unhideWhenUsed/>
    <w:rsid w:val="001E6EA6"/>
    <w:rPr>
      <w:vertAlign w:val="superscript"/>
    </w:rPr>
  </w:style>
  <w:style w:type="paragraph" w:styleId="IntenseQuote">
    <w:name w:val="Intense Quote"/>
    <w:basedOn w:val="Normal"/>
    <w:next w:val="Normal"/>
    <w:link w:val="IntenseQuoteChar"/>
    <w:uiPriority w:val="30"/>
    <w:qFormat/>
    <w:rsid w:val="00B914CD"/>
    <w:pPr>
      <w:keepLines w:val="0"/>
      <w:pBdr>
        <w:top w:val="single" w:sz="4" w:space="10" w:color="D50057" w:themeColor="accent1"/>
        <w:bottom w:val="single" w:sz="4" w:space="10" w:color="D50057" w:themeColor="accent1"/>
      </w:pBdr>
      <w:spacing w:before="360" w:after="360"/>
      <w:ind w:left="864" w:right="864"/>
      <w:jc w:val="center"/>
    </w:pPr>
    <w:rPr>
      <w:iCs/>
      <w:color w:val="D50057" w:themeColor="accent1"/>
      <w:sz w:val="24"/>
    </w:rPr>
  </w:style>
  <w:style w:type="character" w:customStyle="1" w:styleId="IntenseQuoteChar">
    <w:name w:val="Intense Quote Char"/>
    <w:basedOn w:val="DefaultParagraphFont"/>
    <w:link w:val="IntenseQuote"/>
    <w:uiPriority w:val="30"/>
    <w:rsid w:val="00B914CD"/>
    <w:rPr>
      <w:rFonts w:ascii="Segoe UI" w:hAnsi="Segoe UI"/>
      <w:iCs/>
      <w:color w:val="D50057" w:themeColor="accent1"/>
      <w:sz w:val="24"/>
    </w:rPr>
  </w:style>
  <w:style w:type="character" w:customStyle="1" w:styleId="Heading4Char">
    <w:name w:val="Heading 4 Char"/>
    <w:basedOn w:val="DefaultParagraphFont"/>
    <w:link w:val="Heading4"/>
    <w:uiPriority w:val="9"/>
    <w:semiHidden/>
    <w:rsid w:val="005F7D8D"/>
    <w:rPr>
      <w:rFonts w:asciiTheme="majorHAnsi" w:eastAsiaTheme="majorEastAsia" w:hAnsiTheme="majorHAnsi" w:cstheme="majorBidi"/>
      <w:i/>
      <w:iCs/>
      <w:color w:val="9F0040" w:themeColor="accent1" w:themeShade="BF"/>
      <w:sz w:val="24"/>
    </w:rPr>
  </w:style>
  <w:style w:type="table" w:styleId="TableGrid">
    <w:name w:val="Table Grid"/>
    <w:basedOn w:val="TableNormal"/>
    <w:uiPriority w:val="39"/>
    <w:rsid w:val="005F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D8D"/>
    <w:rPr>
      <w:sz w:val="16"/>
      <w:szCs w:val="16"/>
    </w:rPr>
  </w:style>
  <w:style w:type="paragraph" w:styleId="CommentText">
    <w:name w:val="annotation text"/>
    <w:basedOn w:val="Normal"/>
    <w:link w:val="CommentTextChar"/>
    <w:uiPriority w:val="99"/>
    <w:unhideWhenUsed/>
    <w:rsid w:val="005F7D8D"/>
    <w:pPr>
      <w:keepLines w:val="0"/>
      <w:spacing w:after="120" w:line="240" w:lineRule="auto"/>
    </w:pPr>
    <w:rPr>
      <w:rFonts w:ascii="Arial" w:hAnsi="Arial"/>
      <w:sz w:val="20"/>
      <w:szCs w:val="20"/>
    </w:rPr>
  </w:style>
  <w:style w:type="character" w:customStyle="1" w:styleId="CommentTextChar">
    <w:name w:val="Comment Text Char"/>
    <w:basedOn w:val="DefaultParagraphFont"/>
    <w:link w:val="CommentText"/>
    <w:uiPriority w:val="99"/>
    <w:rsid w:val="005F7D8D"/>
    <w:rPr>
      <w:rFonts w:ascii="Arial" w:hAnsi="Arial"/>
      <w:sz w:val="20"/>
      <w:szCs w:val="20"/>
    </w:rPr>
  </w:style>
  <w:style w:type="paragraph" w:styleId="TOCHeading">
    <w:name w:val="TOC Heading"/>
    <w:basedOn w:val="Heading1"/>
    <w:next w:val="Normal"/>
    <w:uiPriority w:val="39"/>
    <w:unhideWhenUsed/>
    <w:qFormat/>
    <w:rsid w:val="005F7D8D"/>
    <w:pPr>
      <w:spacing w:before="120"/>
      <w:outlineLvl w:val="9"/>
    </w:pPr>
    <w:rPr>
      <w:color w:val="9F0040" w:themeColor="accent1" w:themeShade="BF"/>
      <w:sz w:val="32"/>
      <w:szCs w:val="32"/>
      <w:lang w:val="en-US"/>
    </w:rPr>
  </w:style>
  <w:style w:type="paragraph" w:styleId="TOC1">
    <w:name w:val="toc 1"/>
    <w:basedOn w:val="Normal"/>
    <w:next w:val="Normal"/>
    <w:autoRedefine/>
    <w:uiPriority w:val="39"/>
    <w:unhideWhenUsed/>
    <w:rsid w:val="005F7D8D"/>
    <w:pPr>
      <w:keepLines w:val="0"/>
      <w:tabs>
        <w:tab w:val="right" w:leader="dot" w:pos="8805"/>
      </w:tabs>
      <w:spacing w:after="100"/>
    </w:pPr>
    <w:rPr>
      <w:rFonts w:ascii="Arial" w:hAnsi="Arial"/>
      <w:sz w:val="24"/>
    </w:rPr>
  </w:style>
  <w:style w:type="paragraph" w:styleId="TOC2">
    <w:name w:val="toc 2"/>
    <w:basedOn w:val="Normal"/>
    <w:next w:val="Normal"/>
    <w:autoRedefine/>
    <w:uiPriority w:val="39"/>
    <w:unhideWhenUsed/>
    <w:rsid w:val="006A20EB"/>
    <w:pPr>
      <w:keepLines w:val="0"/>
      <w:tabs>
        <w:tab w:val="right" w:leader="dot" w:pos="9350"/>
      </w:tabs>
      <w:spacing w:after="100"/>
      <w:ind w:left="220"/>
    </w:pPr>
    <w:rPr>
      <w:rFonts w:ascii="Arial" w:hAnsi="Arial"/>
      <w:sz w:val="24"/>
    </w:rPr>
  </w:style>
  <w:style w:type="character" w:styleId="FollowedHyperlink">
    <w:name w:val="FollowedHyperlink"/>
    <w:basedOn w:val="DefaultParagraphFont"/>
    <w:uiPriority w:val="99"/>
    <w:semiHidden/>
    <w:unhideWhenUsed/>
    <w:rsid w:val="005F7D8D"/>
    <w:rPr>
      <w:color w:val="FF4C95" w:themeColor="followedHyperlink"/>
      <w:u w:val="single"/>
    </w:rPr>
  </w:style>
  <w:style w:type="paragraph" w:styleId="CommentSubject">
    <w:name w:val="annotation subject"/>
    <w:basedOn w:val="CommentText"/>
    <w:next w:val="CommentText"/>
    <w:link w:val="CommentSubjectChar"/>
    <w:uiPriority w:val="99"/>
    <w:semiHidden/>
    <w:unhideWhenUsed/>
    <w:rsid w:val="005F7D8D"/>
    <w:rPr>
      <w:b/>
      <w:bCs/>
    </w:rPr>
  </w:style>
  <w:style w:type="character" w:customStyle="1" w:styleId="CommentSubjectChar">
    <w:name w:val="Comment Subject Char"/>
    <w:basedOn w:val="CommentTextChar"/>
    <w:link w:val="CommentSubject"/>
    <w:uiPriority w:val="99"/>
    <w:semiHidden/>
    <w:rsid w:val="005F7D8D"/>
    <w:rPr>
      <w:rFonts w:ascii="Arial" w:hAnsi="Arial"/>
      <w:b/>
      <w:bCs/>
      <w:sz w:val="20"/>
      <w:szCs w:val="20"/>
    </w:rPr>
  </w:style>
  <w:style w:type="paragraph" w:styleId="NormalWeb">
    <w:name w:val="Normal (Web)"/>
    <w:basedOn w:val="Normal"/>
    <w:uiPriority w:val="99"/>
    <w:unhideWhenUsed/>
    <w:rsid w:val="005F7D8D"/>
    <w:pPr>
      <w:keepLines w:val="0"/>
      <w:spacing w:after="173"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5F7D8D"/>
    <w:rPr>
      <w:color w:val="605E5C"/>
      <w:shd w:val="clear" w:color="auto" w:fill="E1DFDD"/>
    </w:rPr>
  </w:style>
  <w:style w:type="paragraph" w:customStyle="1" w:styleId="section">
    <w:name w:val="section"/>
    <w:basedOn w:val="Normal"/>
    <w:rsid w:val="005F7D8D"/>
    <w:pPr>
      <w:keepLines w:val="0"/>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4">
    <w:name w:val="Grid Table 4"/>
    <w:basedOn w:val="TableNormal"/>
    <w:uiPriority w:val="49"/>
    <w:rsid w:val="005F7D8D"/>
    <w:pPr>
      <w:spacing w:after="0" w:line="240" w:lineRule="auto"/>
    </w:pPr>
    <w:tblPr>
      <w:tblStyleRowBandSize w:val="1"/>
      <w:tblStyleColBandSize w:val="1"/>
      <w:tblBorders>
        <w:top w:val="single" w:sz="4" w:space="0" w:color="969A9D" w:themeColor="text1" w:themeTint="99"/>
        <w:left w:val="single" w:sz="4" w:space="0" w:color="969A9D" w:themeColor="text1" w:themeTint="99"/>
        <w:bottom w:val="single" w:sz="4" w:space="0" w:color="969A9D" w:themeColor="text1" w:themeTint="99"/>
        <w:right w:val="single" w:sz="4" w:space="0" w:color="969A9D" w:themeColor="text1" w:themeTint="99"/>
        <w:insideH w:val="single" w:sz="4" w:space="0" w:color="969A9D" w:themeColor="text1" w:themeTint="99"/>
        <w:insideV w:val="single" w:sz="4" w:space="0" w:color="969A9D" w:themeColor="text1" w:themeTint="99"/>
      </w:tblBorders>
    </w:tblPr>
    <w:tblStylePr w:type="firstRow">
      <w:rPr>
        <w:b/>
        <w:bCs/>
        <w:color w:val="FFFFFF" w:themeColor="background1"/>
      </w:rPr>
      <w:tblPr/>
      <w:tcPr>
        <w:tcBorders>
          <w:top w:val="single" w:sz="4" w:space="0" w:color="54575A" w:themeColor="text1"/>
          <w:left w:val="single" w:sz="4" w:space="0" w:color="54575A" w:themeColor="text1"/>
          <w:bottom w:val="single" w:sz="4" w:space="0" w:color="54575A" w:themeColor="text1"/>
          <w:right w:val="single" w:sz="4" w:space="0" w:color="54575A" w:themeColor="text1"/>
          <w:insideH w:val="nil"/>
          <w:insideV w:val="nil"/>
        </w:tcBorders>
        <w:shd w:val="clear" w:color="auto" w:fill="54575A" w:themeFill="text1"/>
      </w:tcPr>
    </w:tblStylePr>
    <w:tblStylePr w:type="lastRow">
      <w:rPr>
        <w:b/>
        <w:bCs/>
      </w:rPr>
      <w:tblPr/>
      <w:tcPr>
        <w:tcBorders>
          <w:top w:val="double" w:sz="4" w:space="0" w:color="54575A" w:themeColor="text1"/>
        </w:tcBorders>
      </w:tcPr>
    </w:tblStylePr>
    <w:tblStylePr w:type="firstCol">
      <w:rPr>
        <w:b/>
        <w:bCs/>
      </w:rPr>
    </w:tblStylePr>
    <w:tblStylePr w:type="lastCol">
      <w:rPr>
        <w:b/>
        <w:bCs/>
      </w:rPr>
    </w:tblStylePr>
    <w:tblStylePr w:type="band1Vert">
      <w:tblPr/>
      <w:tcPr>
        <w:shd w:val="clear" w:color="auto" w:fill="DCDDDE" w:themeFill="text1" w:themeFillTint="33"/>
      </w:tcPr>
    </w:tblStylePr>
    <w:tblStylePr w:type="band1Horz">
      <w:tblPr/>
      <w:tcPr>
        <w:shd w:val="clear" w:color="auto" w:fill="DCDDDE" w:themeFill="text1" w:themeFillTint="33"/>
      </w:tcPr>
    </w:tblStylePr>
  </w:style>
  <w:style w:type="table" w:styleId="ListTable4">
    <w:name w:val="List Table 4"/>
    <w:basedOn w:val="TableNormal"/>
    <w:uiPriority w:val="49"/>
    <w:rsid w:val="005F7D8D"/>
    <w:pPr>
      <w:spacing w:after="0" w:line="240" w:lineRule="auto"/>
    </w:pPr>
    <w:tblPr>
      <w:tblStyleRowBandSize w:val="1"/>
      <w:tblStyleColBandSize w:val="1"/>
      <w:tblBorders>
        <w:top w:val="single" w:sz="4" w:space="0" w:color="969A9D" w:themeColor="text1" w:themeTint="99"/>
        <w:left w:val="single" w:sz="4" w:space="0" w:color="969A9D" w:themeColor="text1" w:themeTint="99"/>
        <w:bottom w:val="single" w:sz="4" w:space="0" w:color="969A9D" w:themeColor="text1" w:themeTint="99"/>
        <w:right w:val="single" w:sz="4" w:space="0" w:color="969A9D" w:themeColor="text1" w:themeTint="99"/>
        <w:insideH w:val="single" w:sz="4" w:space="0" w:color="969A9D" w:themeColor="text1" w:themeTint="99"/>
      </w:tblBorders>
    </w:tblPr>
    <w:tblStylePr w:type="firstRow">
      <w:rPr>
        <w:b/>
        <w:bCs/>
        <w:color w:val="FFFFFF" w:themeColor="background1"/>
      </w:rPr>
      <w:tblPr/>
      <w:tcPr>
        <w:tcBorders>
          <w:top w:val="single" w:sz="4" w:space="0" w:color="54575A" w:themeColor="text1"/>
          <w:left w:val="single" w:sz="4" w:space="0" w:color="54575A" w:themeColor="text1"/>
          <w:bottom w:val="single" w:sz="4" w:space="0" w:color="54575A" w:themeColor="text1"/>
          <w:right w:val="single" w:sz="4" w:space="0" w:color="54575A" w:themeColor="text1"/>
          <w:insideH w:val="nil"/>
        </w:tcBorders>
        <w:shd w:val="clear" w:color="auto" w:fill="54575A" w:themeFill="text1"/>
      </w:tcPr>
    </w:tblStylePr>
    <w:tblStylePr w:type="lastRow">
      <w:rPr>
        <w:b/>
        <w:bCs/>
      </w:rPr>
      <w:tblPr/>
      <w:tcPr>
        <w:tcBorders>
          <w:top w:val="double" w:sz="4" w:space="0" w:color="969A9D" w:themeColor="text1" w:themeTint="99"/>
        </w:tcBorders>
      </w:tcPr>
    </w:tblStylePr>
    <w:tblStylePr w:type="firstCol">
      <w:rPr>
        <w:b/>
        <w:bCs/>
      </w:rPr>
    </w:tblStylePr>
    <w:tblStylePr w:type="lastCol">
      <w:rPr>
        <w:b/>
        <w:bCs/>
      </w:rPr>
    </w:tblStylePr>
    <w:tblStylePr w:type="band1Vert">
      <w:tblPr/>
      <w:tcPr>
        <w:shd w:val="clear" w:color="auto" w:fill="DCDDDE" w:themeFill="text1" w:themeFillTint="33"/>
      </w:tcPr>
    </w:tblStylePr>
    <w:tblStylePr w:type="band1Horz">
      <w:tblPr/>
      <w:tcPr>
        <w:shd w:val="clear" w:color="auto" w:fill="DCDDDE" w:themeFill="text1" w:themeFillTint="33"/>
      </w:tcPr>
    </w:tblStylePr>
  </w:style>
  <w:style w:type="table" w:styleId="GridTable3">
    <w:name w:val="Grid Table 3"/>
    <w:basedOn w:val="TableNormal"/>
    <w:uiPriority w:val="48"/>
    <w:rsid w:val="005F7D8D"/>
    <w:pPr>
      <w:spacing w:after="0" w:line="240" w:lineRule="auto"/>
    </w:pPr>
    <w:tblPr>
      <w:tblStyleRowBandSize w:val="1"/>
      <w:tblStyleColBandSize w:val="1"/>
      <w:tblBorders>
        <w:top w:val="single" w:sz="4" w:space="0" w:color="969A9D" w:themeColor="text1" w:themeTint="99"/>
        <w:left w:val="single" w:sz="4" w:space="0" w:color="969A9D" w:themeColor="text1" w:themeTint="99"/>
        <w:bottom w:val="single" w:sz="4" w:space="0" w:color="969A9D" w:themeColor="text1" w:themeTint="99"/>
        <w:right w:val="single" w:sz="4" w:space="0" w:color="969A9D" w:themeColor="text1" w:themeTint="99"/>
        <w:insideH w:val="single" w:sz="4" w:space="0" w:color="969A9D" w:themeColor="text1" w:themeTint="99"/>
        <w:insideV w:val="single" w:sz="4" w:space="0" w:color="969A9D"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DDE" w:themeFill="text1" w:themeFillTint="33"/>
      </w:tcPr>
    </w:tblStylePr>
    <w:tblStylePr w:type="band1Horz">
      <w:tblPr/>
      <w:tcPr>
        <w:shd w:val="clear" w:color="auto" w:fill="DCDDDE" w:themeFill="text1" w:themeFillTint="33"/>
      </w:tcPr>
    </w:tblStylePr>
    <w:tblStylePr w:type="neCell">
      <w:tblPr/>
      <w:tcPr>
        <w:tcBorders>
          <w:bottom w:val="single" w:sz="4" w:space="0" w:color="969A9D" w:themeColor="text1" w:themeTint="99"/>
        </w:tcBorders>
      </w:tcPr>
    </w:tblStylePr>
    <w:tblStylePr w:type="nwCell">
      <w:tblPr/>
      <w:tcPr>
        <w:tcBorders>
          <w:bottom w:val="single" w:sz="4" w:space="0" w:color="969A9D" w:themeColor="text1" w:themeTint="99"/>
        </w:tcBorders>
      </w:tcPr>
    </w:tblStylePr>
    <w:tblStylePr w:type="seCell">
      <w:tblPr/>
      <w:tcPr>
        <w:tcBorders>
          <w:top w:val="single" w:sz="4" w:space="0" w:color="969A9D" w:themeColor="text1" w:themeTint="99"/>
        </w:tcBorders>
      </w:tcPr>
    </w:tblStylePr>
    <w:tblStylePr w:type="swCell">
      <w:tblPr/>
      <w:tcPr>
        <w:tcBorders>
          <w:top w:val="single" w:sz="4" w:space="0" w:color="969A9D" w:themeColor="text1" w:themeTint="99"/>
        </w:tcBorders>
      </w:tcPr>
    </w:tblStylePr>
  </w:style>
  <w:style w:type="table" w:styleId="GridTable4-Accent1">
    <w:name w:val="Grid Table 4 Accent 1"/>
    <w:basedOn w:val="TableNormal"/>
    <w:uiPriority w:val="49"/>
    <w:rsid w:val="005F7D8D"/>
    <w:pPr>
      <w:spacing w:after="0" w:line="240" w:lineRule="auto"/>
    </w:pPr>
    <w:tblPr>
      <w:tblStyleRowBandSize w:val="1"/>
      <w:tblStyleColBandSize w:val="1"/>
      <w:tblBorders>
        <w:top w:val="single" w:sz="4" w:space="0" w:color="FF4C95" w:themeColor="accent1" w:themeTint="99"/>
        <w:left w:val="single" w:sz="4" w:space="0" w:color="FF4C95" w:themeColor="accent1" w:themeTint="99"/>
        <w:bottom w:val="single" w:sz="4" w:space="0" w:color="FF4C95" w:themeColor="accent1" w:themeTint="99"/>
        <w:right w:val="single" w:sz="4" w:space="0" w:color="FF4C95" w:themeColor="accent1" w:themeTint="99"/>
        <w:insideH w:val="single" w:sz="4" w:space="0" w:color="FF4C95" w:themeColor="accent1" w:themeTint="99"/>
        <w:insideV w:val="single" w:sz="4" w:space="0" w:color="FF4C95" w:themeColor="accent1" w:themeTint="99"/>
      </w:tblBorders>
    </w:tblPr>
    <w:tblStylePr w:type="firstRow">
      <w:rPr>
        <w:b/>
        <w:bCs/>
        <w:color w:val="FFFFFF" w:themeColor="background1"/>
      </w:rPr>
      <w:tblPr/>
      <w:tcPr>
        <w:tcBorders>
          <w:top w:val="single" w:sz="4" w:space="0" w:color="D50057" w:themeColor="accent1"/>
          <w:left w:val="single" w:sz="4" w:space="0" w:color="D50057" w:themeColor="accent1"/>
          <w:bottom w:val="single" w:sz="4" w:space="0" w:color="D50057" w:themeColor="accent1"/>
          <w:right w:val="single" w:sz="4" w:space="0" w:color="D50057" w:themeColor="accent1"/>
          <w:insideH w:val="nil"/>
          <w:insideV w:val="nil"/>
        </w:tcBorders>
        <w:shd w:val="clear" w:color="auto" w:fill="D50057" w:themeFill="accent1"/>
      </w:tcPr>
    </w:tblStylePr>
    <w:tblStylePr w:type="lastRow">
      <w:rPr>
        <w:b/>
        <w:bCs/>
      </w:rPr>
      <w:tblPr/>
      <w:tcPr>
        <w:tcBorders>
          <w:top w:val="double" w:sz="4" w:space="0" w:color="D50057" w:themeColor="accent1"/>
        </w:tcBorders>
      </w:tcPr>
    </w:tblStylePr>
    <w:tblStylePr w:type="firstCol">
      <w:rPr>
        <w:b/>
        <w:bCs/>
      </w:rPr>
    </w:tblStylePr>
    <w:tblStylePr w:type="lastCol">
      <w:rPr>
        <w:b/>
        <w:bCs/>
      </w:rPr>
    </w:tblStylePr>
    <w:tblStylePr w:type="band1Vert">
      <w:tblPr/>
      <w:tcPr>
        <w:shd w:val="clear" w:color="auto" w:fill="FFC3DB" w:themeFill="accent1" w:themeFillTint="33"/>
      </w:tcPr>
    </w:tblStylePr>
    <w:tblStylePr w:type="band1Horz">
      <w:tblPr/>
      <w:tcPr>
        <w:shd w:val="clear" w:color="auto" w:fill="FFC3DB" w:themeFill="accent1" w:themeFillTint="33"/>
      </w:tcPr>
    </w:tblStylePr>
  </w:style>
  <w:style w:type="table" w:styleId="ListTable3">
    <w:name w:val="List Table 3"/>
    <w:basedOn w:val="TableNormal"/>
    <w:uiPriority w:val="48"/>
    <w:rsid w:val="005F7D8D"/>
    <w:pPr>
      <w:spacing w:after="0" w:line="240" w:lineRule="auto"/>
    </w:pPr>
    <w:tblPr>
      <w:tblStyleRowBandSize w:val="1"/>
      <w:tblStyleColBandSize w:val="1"/>
      <w:tblBorders>
        <w:top w:val="single" w:sz="4" w:space="0" w:color="54575A" w:themeColor="text1"/>
        <w:left w:val="single" w:sz="4" w:space="0" w:color="54575A" w:themeColor="text1"/>
        <w:bottom w:val="single" w:sz="4" w:space="0" w:color="54575A" w:themeColor="text1"/>
        <w:right w:val="single" w:sz="4" w:space="0" w:color="54575A" w:themeColor="text1"/>
      </w:tblBorders>
    </w:tblPr>
    <w:tblStylePr w:type="firstRow">
      <w:rPr>
        <w:b/>
        <w:bCs/>
        <w:color w:val="FFFFFF" w:themeColor="background1"/>
      </w:rPr>
      <w:tblPr/>
      <w:tcPr>
        <w:shd w:val="clear" w:color="auto" w:fill="54575A" w:themeFill="text1"/>
      </w:tcPr>
    </w:tblStylePr>
    <w:tblStylePr w:type="lastRow">
      <w:rPr>
        <w:b/>
        <w:bCs/>
      </w:rPr>
      <w:tblPr/>
      <w:tcPr>
        <w:tcBorders>
          <w:top w:val="double" w:sz="4" w:space="0" w:color="54575A"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575A" w:themeColor="text1"/>
          <w:right w:val="single" w:sz="4" w:space="0" w:color="54575A" w:themeColor="text1"/>
        </w:tcBorders>
      </w:tcPr>
    </w:tblStylePr>
    <w:tblStylePr w:type="band1Horz">
      <w:tblPr/>
      <w:tcPr>
        <w:tcBorders>
          <w:top w:val="single" w:sz="4" w:space="0" w:color="54575A" w:themeColor="text1"/>
          <w:bottom w:val="single" w:sz="4" w:space="0" w:color="54575A"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575A" w:themeColor="text1"/>
          <w:left w:val="nil"/>
        </w:tcBorders>
      </w:tcPr>
    </w:tblStylePr>
    <w:tblStylePr w:type="swCell">
      <w:tblPr/>
      <w:tcPr>
        <w:tcBorders>
          <w:top w:val="double" w:sz="4" w:space="0" w:color="54575A" w:themeColor="text1"/>
          <w:right w:val="nil"/>
        </w:tcBorders>
      </w:tcPr>
    </w:tblStylePr>
  </w:style>
  <w:style w:type="paragraph" w:styleId="Quote">
    <w:name w:val="Quote"/>
    <w:basedOn w:val="Normal"/>
    <w:next w:val="Normal"/>
    <w:link w:val="QuoteChar"/>
    <w:uiPriority w:val="29"/>
    <w:qFormat/>
    <w:rsid w:val="005F7D8D"/>
    <w:pPr>
      <w:keepLines w:val="0"/>
      <w:spacing w:before="200" w:after="120"/>
      <w:ind w:left="864" w:right="864"/>
      <w:jc w:val="center"/>
    </w:pPr>
    <w:rPr>
      <w:rFonts w:ascii="Arial" w:hAnsi="Arial"/>
      <w:i/>
      <w:iCs/>
      <w:color w:val="7C8085" w:themeColor="text1" w:themeTint="BF"/>
      <w:sz w:val="24"/>
    </w:rPr>
  </w:style>
  <w:style w:type="character" w:customStyle="1" w:styleId="QuoteChar">
    <w:name w:val="Quote Char"/>
    <w:basedOn w:val="DefaultParagraphFont"/>
    <w:link w:val="Quote"/>
    <w:uiPriority w:val="29"/>
    <w:rsid w:val="005F7D8D"/>
    <w:rPr>
      <w:rFonts w:ascii="Arial" w:hAnsi="Arial"/>
      <w:i/>
      <w:iCs/>
      <w:color w:val="7C8085" w:themeColor="text1" w:themeTint="BF"/>
      <w:sz w:val="24"/>
    </w:rPr>
  </w:style>
  <w:style w:type="paragraph" w:styleId="NoSpacing">
    <w:name w:val="No Spacing"/>
    <w:uiPriority w:val="1"/>
    <w:qFormat/>
    <w:rsid w:val="005F7D8D"/>
    <w:pPr>
      <w:spacing w:after="0" w:line="240" w:lineRule="auto"/>
    </w:pPr>
    <w:rPr>
      <w:rFonts w:ascii="Arial" w:hAnsi="Arial"/>
      <w:sz w:val="24"/>
    </w:rPr>
  </w:style>
  <w:style w:type="character" w:styleId="Strong">
    <w:name w:val="Strong"/>
    <w:basedOn w:val="DefaultParagraphFont"/>
    <w:uiPriority w:val="22"/>
    <w:qFormat/>
    <w:rsid w:val="00B914CD"/>
    <w:rPr>
      <w:b/>
      <w:bCs/>
      <w:color w:val="auto"/>
      <w:lang w:val="en-CA"/>
    </w:rPr>
  </w:style>
  <w:style w:type="character" w:customStyle="1" w:styleId="hit">
    <w:name w:val="hit"/>
    <w:basedOn w:val="DefaultParagraphFont"/>
    <w:rsid w:val="005F7D8D"/>
  </w:style>
  <w:style w:type="paragraph" w:styleId="Revision">
    <w:name w:val="Revision"/>
    <w:hidden/>
    <w:uiPriority w:val="99"/>
    <w:semiHidden/>
    <w:rsid w:val="005F7D8D"/>
    <w:pPr>
      <w:spacing w:after="0" w:line="240" w:lineRule="auto"/>
    </w:pPr>
    <w:rPr>
      <w:rFonts w:ascii="Arial" w:hAnsi="Arial"/>
      <w:sz w:val="24"/>
    </w:rPr>
  </w:style>
  <w:style w:type="paragraph" w:customStyle="1" w:styleId="Default">
    <w:name w:val="Default"/>
    <w:rsid w:val="005F7D8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5F7D8D"/>
    <w:rPr>
      <w:color w:val="auto"/>
    </w:rPr>
  </w:style>
  <w:style w:type="character" w:customStyle="1" w:styleId="BodyTextChar">
    <w:name w:val="Body Text Char"/>
    <w:basedOn w:val="DefaultParagraphFont"/>
    <w:link w:val="BodyText"/>
    <w:uiPriority w:val="99"/>
    <w:rsid w:val="005F7D8D"/>
    <w:rPr>
      <w:rFonts w:ascii="Times New Roman" w:hAnsi="Times New Roman" w:cs="Times New Roman"/>
      <w:sz w:val="24"/>
      <w:szCs w:val="24"/>
    </w:rPr>
  </w:style>
  <w:style w:type="paragraph" w:customStyle="1" w:styleId="marginalnote">
    <w:name w:val="marginalnote"/>
    <w:basedOn w:val="Normal"/>
    <w:rsid w:val="000879A3"/>
    <w:pPr>
      <w:keepLines w:val="0"/>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
    <w:name w:val="subsection"/>
    <w:basedOn w:val="Normal"/>
    <w:rsid w:val="000879A3"/>
    <w:pPr>
      <w:keepLines w:val="0"/>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0879A3"/>
  </w:style>
  <w:style w:type="character" w:customStyle="1" w:styleId="sectionlabel">
    <w:name w:val="sectionlabel"/>
    <w:basedOn w:val="DefaultParagraphFont"/>
    <w:rsid w:val="00EB26BB"/>
  </w:style>
  <w:style w:type="character" w:customStyle="1" w:styleId="Heading3Char">
    <w:name w:val="Heading 3 Char"/>
    <w:basedOn w:val="DefaultParagraphFont"/>
    <w:link w:val="Heading3"/>
    <w:uiPriority w:val="9"/>
    <w:rsid w:val="00EC7CEA"/>
    <w:rPr>
      <w:rFonts w:asciiTheme="majorHAnsi" w:eastAsiaTheme="majorEastAsia" w:hAnsiTheme="majorHAnsi" w:cstheme="majorBidi"/>
      <w:color w:val="6A002B" w:themeColor="accent1" w:themeShade="7F"/>
      <w:sz w:val="24"/>
      <w:szCs w:val="24"/>
      <w:lang w:val="fr-CA"/>
    </w:rPr>
  </w:style>
  <w:style w:type="character" w:styleId="HTMLCite">
    <w:name w:val="HTML Cite"/>
    <w:basedOn w:val="DefaultParagraphFont"/>
    <w:uiPriority w:val="99"/>
    <w:semiHidden/>
    <w:unhideWhenUsed/>
    <w:rsid w:val="00EC7CEA"/>
    <w:rPr>
      <w:i/>
      <w:iCs/>
    </w:rPr>
  </w:style>
  <w:style w:type="character" w:customStyle="1" w:styleId="wb-inv1">
    <w:name w:val="wb-inv1"/>
    <w:basedOn w:val="DefaultParagraphFont"/>
    <w:rsid w:val="00EC7CEA"/>
  </w:style>
  <w:style w:type="character" w:customStyle="1" w:styleId="htitletext2">
    <w:name w:val="htitletext2"/>
    <w:basedOn w:val="DefaultParagraphFont"/>
    <w:rsid w:val="00617AF9"/>
  </w:style>
  <w:style w:type="character" w:customStyle="1" w:styleId="htitletext3">
    <w:name w:val="htitletext3"/>
    <w:basedOn w:val="DefaultParagraphFont"/>
    <w:rsid w:val="0061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3151">
      <w:bodyDiv w:val="1"/>
      <w:marLeft w:val="0"/>
      <w:marRight w:val="0"/>
      <w:marTop w:val="0"/>
      <w:marBottom w:val="0"/>
      <w:divBdr>
        <w:top w:val="none" w:sz="0" w:space="0" w:color="auto"/>
        <w:left w:val="none" w:sz="0" w:space="0" w:color="auto"/>
        <w:bottom w:val="none" w:sz="0" w:space="0" w:color="auto"/>
        <w:right w:val="none" w:sz="0" w:space="0" w:color="auto"/>
      </w:divBdr>
    </w:div>
    <w:div w:id="535968215">
      <w:bodyDiv w:val="1"/>
      <w:marLeft w:val="0"/>
      <w:marRight w:val="0"/>
      <w:marTop w:val="0"/>
      <w:marBottom w:val="0"/>
      <w:divBdr>
        <w:top w:val="none" w:sz="0" w:space="0" w:color="auto"/>
        <w:left w:val="none" w:sz="0" w:space="0" w:color="auto"/>
        <w:bottom w:val="none" w:sz="0" w:space="0" w:color="auto"/>
        <w:right w:val="none" w:sz="0" w:space="0" w:color="auto"/>
      </w:divBdr>
    </w:div>
    <w:div w:id="642545442">
      <w:bodyDiv w:val="1"/>
      <w:marLeft w:val="0"/>
      <w:marRight w:val="0"/>
      <w:marTop w:val="0"/>
      <w:marBottom w:val="0"/>
      <w:divBdr>
        <w:top w:val="none" w:sz="0" w:space="0" w:color="auto"/>
        <w:left w:val="none" w:sz="0" w:space="0" w:color="auto"/>
        <w:bottom w:val="none" w:sz="0" w:space="0" w:color="auto"/>
        <w:right w:val="none" w:sz="0" w:space="0" w:color="auto"/>
      </w:divBdr>
    </w:div>
    <w:div w:id="843784091">
      <w:bodyDiv w:val="1"/>
      <w:marLeft w:val="0"/>
      <w:marRight w:val="0"/>
      <w:marTop w:val="0"/>
      <w:marBottom w:val="0"/>
      <w:divBdr>
        <w:top w:val="none" w:sz="0" w:space="0" w:color="auto"/>
        <w:left w:val="none" w:sz="0" w:space="0" w:color="auto"/>
        <w:bottom w:val="none" w:sz="0" w:space="0" w:color="auto"/>
        <w:right w:val="none" w:sz="0" w:space="0" w:color="auto"/>
      </w:divBdr>
    </w:div>
    <w:div w:id="1456874808">
      <w:bodyDiv w:val="1"/>
      <w:marLeft w:val="0"/>
      <w:marRight w:val="0"/>
      <w:marTop w:val="0"/>
      <w:marBottom w:val="0"/>
      <w:divBdr>
        <w:top w:val="none" w:sz="0" w:space="0" w:color="auto"/>
        <w:left w:val="none" w:sz="0" w:space="0" w:color="auto"/>
        <w:bottom w:val="none" w:sz="0" w:space="0" w:color="auto"/>
        <w:right w:val="none" w:sz="0" w:space="0" w:color="auto"/>
      </w:divBdr>
    </w:div>
    <w:div w:id="1473906104">
      <w:bodyDiv w:val="1"/>
      <w:marLeft w:val="0"/>
      <w:marRight w:val="0"/>
      <w:marTop w:val="0"/>
      <w:marBottom w:val="0"/>
      <w:divBdr>
        <w:top w:val="none" w:sz="0" w:space="0" w:color="auto"/>
        <w:left w:val="none" w:sz="0" w:space="0" w:color="auto"/>
        <w:bottom w:val="none" w:sz="0" w:space="0" w:color="auto"/>
        <w:right w:val="none" w:sz="0" w:space="0" w:color="auto"/>
      </w:divBdr>
      <w:divsChild>
        <w:div w:id="1481539408">
          <w:marLeft w:val="0"/>
          <w:marRight w:val="0"/>
          <w:marTop w:val="0"/>
          <w:marBottom w:val="0"/>
          <w:divBdr>
            <w:top w:val="none" w:sz="0" w:space="0" w:color="auto"/>
            <w:left w:val="none" w:sz="0" w:space="0" w:color="auto"/>
            <w:bottom w:val="none" w:sz="0" w:space="0" w:color="auto"/>
            <w:right w:val="none" w:sz="0" w:space="0" w:color="auto"/>
          </w:divBdr>
        </w:div>
      </w:divsChild>
    </w:div>
    <w:div w:id="15933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33.01/nifnev.html" TargetMode="External"/><Relationship Id="rId13" Type="http://schemas.openxmlformats.org/officeDocument/2006/relationships/hyperlink" Target="https://www.canada.ca/en/public-service-commission/services/public-service-hiring-guides/appointment-processes-how-conduct-interviews.html" TargetMode="External"/><Relationship Id="rId18" Type="http://schemas.openxmlformats.org/officeDocument/2006/relationships/hyperlink" Target="https://www.canada.ca/en/public-service-commission/services/assessment-accommodation-pag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public-service-commission/services/public-service-hiring-guides/enhance-fairness-reduce-bias-assessment-tools.html" TargetMode="External"/><Relationship Id="rId7" Type="http://schemas.openxmlformats.org/officeDocument/2006/relationships/endnotes" Target="endnotes.xml"/><Relationship Id="rId12" Type="http://schemas.openxmlformats.org/officeDocument/2006/relationships/hyperlink" Target="https://www.noslangues-ourlanguages.gc.ca/en/publications/equite-diversite-inclusion-equity-diversity-inclusion-eng" TargetMode="External"/><Relationship Id="rId17" Type="http://schemas.openxmlformats.org/officeDocument/2006/relationships/hyperlink" Target="https://www.canada.ca/en/government/publicservice/wellness-inclusion-diversity-public-service/diversity-inclusion-public-service/accessibility-public-service/government-canada-workplace-accessibility-passpor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11y.canada.ca/en/guides/" TargetMode="External"/><Relationship Id="rId20" Type="http://schemas.openxmlformats.org/officeDocument/2006/relationships/hyperlink" Target="https://www.canada.ca/en/public-service-commission/services/appointment-framework/federal-public-service-inclusive-appointment-le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onnex.gc.ca/file/view/102748916/resources-on-fair-assessments-docx-resources-on-fair-assessments-1-docx?language=e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ada.ca/en/treasury-board-secretariat/services/government-communications/canada-content-style-guide.html" TargetMode="External"/><Relationship Id="rId23" Type="http://schemas.openxmlformats.org/officeDocument/2006/relationships/footer" Target="footer1.xml"/><Relationship Id="rId10" Type="http://schemas.openxmlformats.org/officeDocument/2006/relationships/hyperlink" Target="https://www.canada.ca/en/public-service-commission/services/appointment-framework/guides-tools-appointment-framework.html" TargetMode="External"/><Relationship Id="rId19" Type="http://schemas.openxmlformats.org/officeDocument/2006/relationships/hyperlink" Target="https://www.canada.ca/en/public-service-commission/services/appointment-framework/guides-tools-appointment-framework/flexibility-in-assessment.html" TargetMode="External"/><Relationship Id="rId4" Type="http://schemas.openxmlformats.org/officeDocument/2006/relationships/settings" Target="settings.xml"/><Relationship Id="rId9" Type="http://schemas.openxmlformats.org/officeDocument/2006/relationships/hyperlink" Target="https://www.canada.ca/en/public-service-commission/services/public-service-hiring-guides.html" TargetMode="External"/><Relationship Id="rId14" Type="http://schemas.openxmlformats.org/officeDocument/2006/relationships/hyperlink" Target="https://www.canada.ca/en/public-service-commission/services/public-service-hiring-guides/guide-assessing-persons-disabilities/guide-assessing-persons-disabilities-determine-implement-assessment-accommodations-appendix-1-think-inclusion-design.html" TargetMode="External"/><Relationship Id="rId22" Type="http://schemas.openxmlformats.org/officeDocument/2006/relationships/hyperlink" Target="https://www.canada.ca/en/public-service-commission/services/appointment-framework/federal-public-service-inclusive-appointment-lens.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SC-CFP\Templates\PSC-Report-2021.dotx" TargetMode="External"/></Relationships>
</file>

<file path=word/theme/theme1.xml><?xml version="1.0" encoding="utf-8"?>
<a:theme xmlns:a="http://schemas.openxmlformats.org/drawingml/2006/main" name="CFP-PSC-2021-Theme">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D50057"/>
      </a:hlink>
      <a:folHlink>
        <a:srgbClr val="FF4C9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P-PSC-2021-Theme" id="{F9227C59-6BDC-46A6-9073-3F4F2FFED3F1}" vid="{33E9A152-DAE1-40D5-91A4-95A57416C0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ACDDE-BB6A-4960-B144-8795DE33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PSC-Report-2021.dotx</Template>
  <TotalTime>3853</TotalTime>
  <Pages>10</Pages>
  <Words>2630</Words>
  <Characters>14991</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Tamera</dc:creator>
  <cp:keywords/>
  <dc:description/>
  <cp:lastModifiedBy>Kylee Tamera</cp:lastModifiedBy>
  <cp:revision>987</cp:revision>
  <dcterms:created xsi:type="dcterms:W3CDTF">2022-05-25T18:31:00Z</dcterms:created>
  <dcterms:modified xsi:type="dcterms:W3CDTF">2022-07-06T16:35:00Z</dcterms:modified>
</cp:coreProperties>
</file>